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0017"/>
      </w:tblGrid>
      <w:tr w:rsidR="00AC220C" w:rsidRPr="0013708B" w14:paraId="2C52E261" w14:textId="77777777">
        <w:trPr>
          <w:jc w:val="center"/>
        </w:trPr>
        <w:tc>
          <w:tcPr>
            <w:tcW w:w="10037" w:type="dxa"/>
            <w:tcBorders>
              <w:top w:val="single" w:sz="8" w:space="0" w:color="F2D866"/>
              <w:left w:val="single" w:sz="8" w:space="0" w:color="F2D866"/>
              <w:bottom w:val="single" w:sz="8" w:space="0" w:color="F2D866"/>
              <w:right w:val="single" w:sz="8" w:space="0" w:color="F2D866"/>
            </w:tcBorders>
            <w:shd w:val="clear" w:color="auto" w:fill="FFF9D6"/>
            <w:tcMar>
              <w:top w:w="300" w:type="dxa"/>
              <w:left w:w="400" w:type="dxa"/>
              <w:bottom w:w="300" w:type="dxa"/>
              <w:right w:w="400" w:type="dxa"/>
            </w:tcMar>
          </w:tcPr>
          <w:p w14:paraId="26DD0D5A" w14:textId="7631FB86" w:rsidR="00772CE4" w:rsidRPr="0013708B" w:rsidRDefault="00772CE4" w:rsidP="00772CE4">
            <w:pPr>
              <w:jc w:val="center"/>
              <w:rPr>
                <w:rFonts w:ascii="Tw Cen MT" w:hAnsi="Tw Cen MT"/>
                <w:sz w:val="24"/>
                <w:szCs w:val="24"/>
              </w:rPr>
            </w:pPr>
            <w:r w:rsidRPr="0013708B">
              <w:rPr>
                <w:rFonts w:ascii="Tw Cen MT" w:hAnsi="Tw Cen MT"/>
                <w:noProof/>
                <w:sz w:val="24"/>
                <w:szCs w:val="24"/>
              </w:rPr>
              <w:drawing>
                <wp:inline distT="0" distB="0" distL="0" distR="0" wp14:anchorId="2E0592CA" wp14:editId="77042CA7">
                  <wp:extent cx="6373495" cy="3098800"/>
                  <wp:effectExtent l="0" t="0" r="8255" b="6350"/>
                  <wp:docPr id="2050630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3495" cy="3098800"/>
                          </a:xfrm>
                          <a:prstGeom prst="rect">
                            <a:avLst/>
                          </a:prstGeom>
                          <a:noFill/>
                          <a:ln>
                            <a:noFill/>
                          </a:ln>
                        </pic:spPr>
                      </pic:pic>
                    </a:graphicData>
                  </a:graphic>
                </wp:inline>
              </w:drawing>
            </w:r>
          </w:p>
          <w:p w14:paraId="5283EE00" w14:textId="4D3B27F2" w:rsidR="00AC220C" w:rsidRPr="0013708B" w:rsidRDefault="00AC220C">
            <w:pPr>
              <w:jc w:val="center"/>
              <w:rPr>
                <w:rFonts w:ascii="Tw Cen MT" w:hAnsi="Tw Cen MT"/>
                <w:sz w:val="24"/>
                <w:szCs w:val="24"/>
              </w:rPr>
            </w:pPr>
          </w:p>
          <w:p w14:paraId="2A4E59CE" w14:textId="77777777" w:rsidR="00AC220C" w:rsidRPr="0013708B" w:rsidRDefault="0072022E">
            <w:pPr>
              <w:spacing w:before="520" w:after="0" w:line="259" w:lineRule="auto"/>
              <w:jc w:val="center"/>
              <w:rPr>
                <w:rFonts w:ascii="Tw Cen MT" w:hAnsi="Tw Cen MT"/>
                <w:sz w:val="24"/>
                <w:szCs w:val="24"/>
              </w:rPr>
            </w:pPr>
            <w:r w:rsidRPr="0013708B">
              <w:rPr>
                <w:rFonts w:ascii="Tw Cen MT" w:hAnsi="Tw Cen MT"/>
                <w:b/>
                <w:color w:val="1432A3"/>
                <w:sz w:val="24"/>
                <w:szCs w:val="24"/>
              </w:rPr>
              <w:t>PROSTHESIS UPDATE</w:t>
            </w:r>
          </w:p>
          <w:p w14:paraId="1AD80B94" w14:textId="77777777" w:rsidR="00AC220C" w:rsidRPr="0013708B" w:rsidRDefault="0072022E">
            <w:pPr>
              <w:spacing w:after="280" w:line="259" w:lineRule="auto"/>
              <w:jc w:val="center"/>
              <w:rPr>
                <w:rFonts w:ascii="Tw Cen MT" w:hAnsi="Tw Cen MT"/>
                <w:sz w:val="24"/>
                <w:szCs w:val="24"/>
              </w:rPr>
            </w:pPr>
            <w:r w:rsidRPr="0013708B">
              <w:rPr>
                <w:rFonts w:ascii="Tw Cen MT" w:hAnsi="Tw Cen MT"/>
                <w:b/>
                <w:sz w:val="24"/>
                <w:szCs w:val="24"/>
              </w:rPr>
              <w:t>FIANZ Support under the ACWA Programme</w:t>
            </w:r>
          </w:p>
          <w:p w14:paraId="6D40FB23" w14:textId="77777777" w:rsidR="00AC220C" w:rsidRPr="0013708B" w:rsidRDefault="0072022E">
            <w:pPr>
              <w:spacing w:after="360" w:line="259" w:lineRule="auto"/>
              <w:jc w:val="center"/>
              <w:rPr>
                <w:rFonts w:ascii="Tw Cen MT" w:hAnsi="Tw Cen MT"/>
                <w:sz w:val="24"/>
                <w:szCs w:val="24"/>
              </w:rPr>
            </w:pPr>
            <w:r w:rsidRPr="0013708B">
              <w:rPr>
                <w:rFonts w:ascii="Tw Cen MT" w:hAnsi="Tw Cen MT"/>
                <w:color w:val="4B5563"/>
                <w:sz w:val="24"/>
                <w:szCs w:val="24"/>
              </w:rPr>
              <w:t>May 2026</w:t>
            </w:r>
          </w:p>
          <w:p w14:paraId="70EF6DC4" w14:textId="77777777" w:rsidR="00AC220C" w:rsidRPr="0013708B" w:rsidRDefault="0072022E">
            <w:pPr>
              <w:spacing w:after="0" w:line="259" w:lineRule="auto"/>
              <w:jc w:val="center"/>
              <w:rPr>
                <w:rFonts w:ascii="Tw Cen MT" w:hAnsi="Tw Cen MT"/>
                <w:sz w:val="24"/>
                <w:szCs w:val="24"/>
              </w:rPr>
            </w:pPr>
            <w:r w:rsidRPr="0013708B">
              <w:rPr>
                <w:rFonts w:ascii="Tw Cen MT" w:hAnsi="Tw Cen MT"/>
                <w:sz w:val="24"/>
                <w:szCs w:val="24"/>
              </w:rPr>
              <w:t>Specialized prosthetic rehabilitation and multidisciplinary care for war-injured children.</w:t>
            </w:r>
          </w:p>
        </w:tc>
      </w:tr>
    </w:tbl>
    <w:p w14:paraId="234F0AE6" w14:textId="77777777" w:rsidR="003B3FFB" w:rsidRDefault="003B3FFB">
      <w:pPr>
        <w:spacing w:before="80" w:after="160"/>
        <w:rPr>
          <w:rFonts w:ascii="Tw Cen MT" w:hAnsi="Tw Cen MT"/>
          <w:b/>
          <w:sz w:val="24"/>
          <w:szCs w:val="24"/>
        </w:rPr>
      </w:pPr>
    </w:p>
    <w:p w14:paraId="4837A3E9" w14:textId="24CE8EF5" w:rsidR="00AC220C" w:rsidRPr="0013708B" w:rsidRDefault="0072022E" w:rsidP="003B3FFB">
      <w:pPr>
        <w:spacing w:before="80" w:after="0"/>
        <w:rPr>
          <w:rFonts w:ascii="Tw Cen MT" w:hAnsi="Tw Cen MT"/>
          <w:sz w:val="24"/>
          <w:szCs w:val="24"/>
        </w:rPr>
      </w:pPr>
      <w:r w:rsidRPr="0013708B">
        <w:rPr>
          <w:rFonts w:ascii="Tw Cen MT" w:hAnsi="Tw Cen MT"/>
          <w:b/>
          <w:color w:val="1432A3"/>
          <w:sz w:val="24"/>
          <w:szCs w:val="24"/>
        </w:rPr>
        <w:t>Overview of Support</w:t>
      </w:r>
    </w:p>
    <w:p w14:paraId="17206781" w14:textId="77777777" w:rsidR="003B3FFB" w:rsidRDefault="0072022E">
      <w:pPr>
        <w:spacing w:after="140" w:line="259" w:lineRule="auto"/>
        <w:rPr>
          <w:rFonts w:ascii="Tw Cen MT" w:hAnsi="Tw Cen MT"/>
          <w:sz w:val="24"/>
          <w:szCs w:val="24"/>
        </w:rPr>
      </w:pPr>
      <w:r w:rsidRPr="0013708B">
        <w:rPr>
          <w:rFonts w:ascii="Tw Cen MT" w:hAnsi="Tw Cen MT"/>
          <w:sz w:val="24"/>
          <w:szCs w:val="24"/>
        </w:rPr>
        <w:t xml:space="preserve">Under the broader ACWA Programme, UNICEF, the Ministry of Public Health, the Ghassan Abu Sittah Children's Fund, INARA, and Wings for Hope are supporting war-injured children through a comprehensive model of care that includes medical treatment, rehabilitation, prosthetic support, psychosocial care, and long-term follow-up. </w:t>
      </w:r>
    </w:p>
    <w:p w14:paraId="19980454" w14:textId="21C82AD8" w:rsidR="00AC220C" w:rsidRPr="0013708B" w:rsidRDefault="0072022E">
      <w:pPr>
        <w:spacing w:after="140" w:line="259" w:lineRule="auto"/>
        <w:rPr>
          <w:rFonts w:ascii="Tw Cen MT" w:hAnsi="Tw Cen MT"/>
          <w:sz w:val="24"/>
          <w:szCs w:val="24"/>
        </w:rPr>
      </w:pPr>
      <w:r w:rsidRPr="0013708B">
        <w:rPr>
          <w:rFonts w:ascii="Tw Cen MT" w:hAnsi="Tw Cen MT"/>
          <w:sz w:val="24"/>
          <w:szCs w:val="24"/>
        </w:rPr>
        <w:t>FIANZ support has contributed to a highly specialized area of care for pediatric amputees, where each case requires an individualized pathway based on the child's injury, age, surgical readiness, mobility goals, and long-term rehabilitation needs.</w:t>
      </w:r>
    </w:p>
    <w:p w14:paraId="77EAC675" w14:textId="77777777" w:rsidR="00AC220C" w:rsidRPr="0013708B" w:rsidRDefault="0072022E">
      <w:pPr>
        <w:spacing w:after="240" w:line="259" w:lineRule="auto"/>
        <w:rPr>
          <w:rFonts w:ascii="Tw Cen MT" w:hAnsi="Tw Cen MT"/>
          <w:sz w:val="24"/>
          <w:szCs w:val="24"/>
        </w:rPr>
      </w:pPr>
      <w:r w:rsidRPr="0013708B">
        <w:rPr>
          <w:rFonts w:ascii="Tw Cen MT" w:hAnsi="Tw Cen MT"/>
          <w:sz w:val="24"/>
          <w:szCs w:val="24"/>
        </w:rPr>
        <w:t>Through this support, children with complex upper limb, lower limb, partial foot, finger, and partial hand amputations have been able to access prosthetic and orthotic interventions, physiotherapy, follow-up adjustments, and preparation for future fittings. Five children have already received prosthetic or orthotic devices, while seven others continue to receive surgical and rehabilitation support to ensure they are clinically ready for the next stage of care.</w:t>
      </w:r>
    </w:p>
    <w:tbl>
      <w:tblPr>
        <w:tblW w:w="0" w:type="auto"/>
        <w:jc w:val="center"/>
        <w:tblLook w:val="04A0" w:firstRow="1" w:lastRow="0" w:firstColumn="1" w:lastColumn="0" w:noHBand="0" w:noVBand="1"/>
      </w:tblPr>
      <w:tblGrid>
        <w:gridCol w:w="2509"/>
        <w:gridCol w:w="2509"/>
        <w:gridCol w:w="2509"/>
      </w:tblGrid>
      <w:tr w:rsidR="003E537F" w:rsidRPr="0013708B" w14:paraId="720AD857" w14:textId="77777777">
        <w:trPr>
          <w:jc w:val="center"/>
        </w:trPr>
        <w:tc>
          <w:tcPr>
            <w:tcW w:w="2509" w:type="dxa"/>
            <w:tcBorders>
              <w:top w:val="single" w:sz="6" w:space="0" w:color="B7C2E8"/>
              <w:left w:val="single" w:sz="6" w:space="0" w:color="B7C2E8"/>
              <w:bottom w:val="single" w:sz="6" w:space="0" w:color="B7C2E8"/>
              <w:right w:val="single" w:sz="6" w:space="0" w:color="B7C2E8"/>
            </w:tcBorders>
            <w:shd w:val="clear" w:color="auto" w:fill="EAF0FF"/>
            <w:tcMar>
              <w:top w:w="180" w:type="dxa"/>
              <w:left w:w="120" w:type="dxa"/>
              <w:bottom w:w="180" w:type="dxa"/>
              <w:right w:w="120" w:type="dxa"/>
            </w:tcMar>
            <w:vAlign w:val="center"/>
          </w:tcPr>
          <w:p w14:paraId="04CC5C56" w14:textId="77777777" w:rsidR="003E537F" w:rsidRPr="0013708B" w:rsidRDefault="003E537F">
            <w:pPr>
              <w:jc w:val="center"/>
              <w:rPr>
                <w:rFonts w:ascii="Tw Cen MT" w:hAnsi="Tw Cen MT"/>
                <w:sz w:val="24"/>
                <w:szCs w:val="24"/>
              </w:rPr>
            </w:pPr>
            <w:r w:rsidRPr="0013708B">
              <w:rPr>
                <w:rFonts w:ascii="Tw Cen MT" w:hAnsi="Tw Cen MT"/>
                <w:b/>
                <w:color w:val="1432A3"/>
                <w:sz w:val="24"/>
                <w:szCs w:val="24"/>
              </w:rPr>
              <w:t>12</w:t>
            </w:r>
          </w:p>
          <w:p w14:paraId="2EFEFD06" w14:textId="77777777" w:rsidR="003E537F" w:rsidRPr="0013708B" w:rsidRDefault="003E537F">
            <w:pPr>
              <w:spacing w:after="0" w:line="259" w:lineRule="auto"/>
              <w:jc w:val="center"/>
              <w:rPr>
                <w:rFonts w:ascii="Tw Cen MT" w:hAnsi="Tw Cen MT"/>
                <w:sz w:val="24"/>
                <w:szCs w:val="24"/>
              </w:rPr>
            </w:pPr>
            <w:r w:rsidRPr="0013708B">
              <w:rPr>
                <w:rFonts w:ascii="Tw Cen MT" w:hAnsi="Tw Cen MT"/>
                <w:sz w:val="24"/>
                <w:szCs w:val="24"/>
              </w:rPr>
              <w:t>children covered in this update</w:t>
            </w:r>
          </w:p>
        </w:tc>
        <w:tc>
          <w:tcPr>
            <w:tcW w:w="2509" w:type="dxa"/>
            <w:tcBorders>
              <w:top w:val="single" w:sz="6" w:space="0" w:color="B7C2E8"/>
              <w:left w:val="single" w:sz="6" w:space="0" w:color="B7C2E8"/>
              <w:bottom w:val="single" w:sz="6" w:space="0" w:color="B7C2E8"/>
              <w:right w:val="single" w:sz="6" w:space="0" w:color="B7C2E8"/>
            </w:tcBorders>
            <w:shd w:val="clear" w:color="auto" w:fill="E8F5E9"/>
            <w:tcMar>
              <w:top w:w="180" w:type="dxa"/>
              <w:left w:w="120" w:type="dxa"/>
              <w:bottom w:w="180" w:type="dxa"/>
              <w:right w:w="120" w:type="dxa"/>
            </w:tcMar>
            <w:vAlign w:val="center"/>
          </w:tcPr>
          <w:p w14:paraId="073DA859" w14:textId="77777777" w:rsidR="003E537F" w:rsidRPr="0013708B" w:rsidRDefault="003E537F">
            <w:pPr>
              <w:jc w:val="center"/>
              <w:rPr>
                <w:rFonts w:ascii="Tw Cen MT" w:hAnsi="Tw Cen MT"/>
                <w:sz w:val="24"/>
                <w:szCs w:val="24"/>
              </w:rPr>
            </w:pPr>
            <w:r w:rsidRPr="0013708B">
              <w:rPr>
                <w:rFonts w:ascii="Tw Cen MT" w:hAnsi="Tw Cen MT"/>
                <w:b/>
                <w:color w:val="1432A3"/>
                <w:sz w:val="24"/>
                <w:szCs w:val="24"/>
              </w:rPr>
              <w:t>5</w:t>
            </w:r>
          </w:p>
          <w:p w14:paraId="637017A6" w14:textId="77777777" w:rsidR="003E537F" w:rsidRPr="0013708B" w:rsidRDefault="003E537F">
            <w:pPr>
              <w:spacing w:after="0" w:line="259" w:lineRule="auto"/>
              <w:jc w:val="center"/>
              <w:rPr>
                <w:rFonts w:ascii="Tw Cen MT" w:hAnsi="Tw Cen MT"/>
                <w:sz w:val="24"/>
                <w:szCs w:val="24"/>
              </w:rPr>
            </w:pPr>
            <w:r w:rsidRPr="0013708B">
              <w:rPr>
                <w:rFonts w:ascii="Tw Cen MT" w:hAnsi="Tw Cen MT"/>
                <w:sz w:val="24"/>
                <w:szCs w:val="24"/>
              </w:rPr>
              <w:t>prosthetic or orthotic devices fitted</w:t>
            </w:r>
          </w:p>
        </w:tc>
        <w:tc>
          <w:tcPr>
            <w:tcW w:w="2509" w:type="dxa"/>
            <w:tcBorders>
              <w:top w:val="single" w:sz="6" w:space="0" w:color="B7C2E8"/>
              <w:left w:val="single" w:sz="6" w:space="0" w:color="B7C2E8"/>
              <w:bottom w:val="single" w:sz="6" w:space="0" w:color="B7C2E8"/>
              <w:right w:val="single" w:sz="6" w:space="0" w:color="B7C2E8"/>
            </w:tcBorders>
            <w:shd w:val="clear" w:color="auto" w:fill="FFF0C2"/>
            <w:tcMar>
              <w:top w:w="180" w:type="dxa"/>
              <w:left w:w="120" w:type="dxa"/>
              <w:bottom w:w="180" w:type="dxa"/>
              <w:right w:w="120" w:type="dxa"/>
            </w:tcMar>
            <w:vAlign w:val="center"/>
          </w:tcPr>
          <w:p w14:paraId="5E4839C8" w14:textId="77777777" w:rsidR="003E537F" w:rsidRPr="0013708B" w:rsidRDefault="003E537F">
            <w:pPr>
              <w:jc w:val="center"/>
              <w:rPr>
                <w:rFonts w:ascii="Tw Cen MT" w:hAnsi="Tw Cen MT"/>
                <w:sz w:val="24"/>
                <w:szCs w:val="24"/>
              </w:rPr>
            </w:pPr>
            <w:r w:rsidRPr="0013708B">
              <w:rPr>
                <w:rFonts w:ascii="Tw Cen MT" w:hAnsi="Tw Cen MT"/>
                <w:b/>
                <w:color w:val="1432A3"/>
                <w:sz w:val="24"/>
                <w:szCs w:val="24"/>
              </w:rPr>
              <w:t>7</w:t>
            </w:r>
          </w:p>
          <w:p w14:paraId="13DD9EE0" w14:textId="77777777" w:rsidR="003E537F" w:rsidRPr="0013708B" w:rsidRDefault="003E537F">
            <w:pPr>
              <w:spacing w:after="0" w:line="259" w:lineRule="auto"/>
              <w:jc w:val="center"/>
              <w:rPr>
                <w:rFonts w:ascii="Tw Cen MT" w:hAnsi="Tw Cen MT"/>
                <w:sz w:val="24"/>
                <w:szCs w:val="24"/>
              </w:rPr>
            </w:pPr>
            <w:r w:rsidRPr="0013708B">
              <w:rPr>
                <w:rFonts w:ascii="Tw Cen MT" w:hAnsi="Tw Cen MT"/>
                <w:sz w:val="24"/>
                <w:szCs w:val="24"/>
              </w:rPr>
              <w:t>children in surgical and rehabilitation preparation</w:t>
            </w:r>
          </w:p>
        </w:tc>
      </w:tr>
    </w:tbl>
    <w:p w14:paraId="251A8183" w14:textId="77777777" w:rsidR="00AC220C" w:rsidRPr="0013708B" w:rsidRDefault="00AC220C">
      <w:pPr>
        <w:rPr>
          <w:rFonts w:ascii="Tw Cen MT" w:hAnsi="Tw Cen MT"/>
          <w:sz w:val="24"/>
          <w:szCs w:val="24"/>
        </w:rPr>
      </w:pPr>
    </w:p>
    <w:p w14:paraId="04E73478" w14:textId="77777777" w:rsidR="00AC220C" w:rsidRPr="0013708B" w:rsidRDefault="0072022E" w:rsidP="003B3FFB">
      <w:pPr>
        <w:spacing w:before="80" w:after="0"/>
        <w:rPr>
          <w:rFonts w:ascii="Tw Cen MT" w:hAnsi="Tw Cen MT"/>
          <w:sz w:val="24"/>
          <w:szCs w:val="24"/>
        </w:rPr>
      </w:pPr>
      <w:r w:rsidRPr="0013708B">
        <w:rPr>
          <w:rFonts w:ascii="Tw Cen MT" w:hAnsi="Tw Cen MT"/>
          <w:b/>
          <w:color w:val="1432A3"/>
          <w:sz w:val="24"/>
          <w:szCs w:val="24"/>
        </w:rPr>
        <w:t>Financial Utilization</w:t>
      </w:r>
    </w:p>
    <w:p w14:paraId="7E6D8966" w14:textId="56556BF7" w:rsidR="003B3FFB" w:rsidRDefault="0072022E" w:rsidP="003E537F">
      <w:pPr>
        <w:spacing w:after="0" w:line="259" w:lineRule="auto"/>
        <w:rPr>
          <w:rFonts w:ascii="Tw Cen MT" w:hAnsi="Tw Cen MT"/>
          <w:sz w:val="24"/>
          <w:szCs w:val="24"/>
        </w:rPr>
      </w:pPr>
      <w:r w:rsidRPr="0013708B">
        <w:rPr>
          <w:rFonts w:ascii="Tw Cen MT" w:hAnsi="Tw Cen MT"/>
          <w:sz w:val="24"/>
          <w:szCs w:val="24"/>
        </w:rPr>
        <w:t xml:space="preserve">To date, </w:t>
      </w:r>
      <w:r w:rsidR="003E537F">
        <w:rPr>
          <w:rFonts w:ascii="Tw Cen MT" w:hAnsi="Tw Cen MT"/>
          <w:sz w:val="24"/>
          <w:szCs w:val="24"/>
        </w:rPr>
        <w:t>funding</w:t>
      </w:r>
      <w:r w:rsidRPr="0013708B">
        <w:rPr>
          <w:rFonts w:ascii="Tw Cen MT" w:hAnsi="Tw Cen MT"/>
          <w:sz w:val="24"/>
          <w:szCs w:val="24"/>
        </w:rPr>
        <w:t xml:space="preserve"> has been utilized for prosthetic, orthotic, and physiotherapy services, including fabrication and fitting, socket adaptation, high-activity prosthetic components, rehabilitation preparation, maintenance, follow-up adjustments, and monitoring. Based on current clinical assessments, continued resources are required to sustain care for children supported through this component</w:t>
      </w:r>
      <w:r w:rsidR="003E537F">
        <w:rPr>
          <w:rFonts w:ascii="Tw Cen MT" w:hAnsi="Tw Cen MT"/>
          <w:sz w:val="24"/>
          <w:szCs w:val="24"/>
        </w:rPr>
        <w:t>.</w:t>
      </w:r>
    </w:p>
    <w:p w14:paraId="1193D969" w14:textId="77777777" w:rsidR="003E537F" w:rsidRDefault="003E537F" w:rsidP="003E537F">
      <w:pPr>
        <w:spacing w:after="0" w:line="259" w:lineRule="auto"/>
        <w:rPr>
          <w:rFonts w:ascii="Tw Cen MT" w:hAnsi="Tw Cen MT"/>
          <w:b/>
          <w:color w:val="1432A3"/>
          <w:sz w:val="24"/>
          <w:szCs w:val="24"/>
        </w:rPr>
      </w:pPr>
    </w:p>
    <w:p w14:paraId="7969D028" w14:textId="30BDDA54" w:rsidR="00AC220C" w:rsidRPr="0013708B" w:rsidRDefault="0072022E">
      <w:pPr>
        <w:spacing w:after="80" w:line="259" w:lineRule="auto"/>
        <w:rPr>
          <w:rFonts w:ascii="Tw Cen MT" w:hAnsi="Tw Cen MT"/>
          <w:sz w:val="24"/>
          <w:szCs w:val="24"/>
        </w:rPr>
      </w:pPr>
      <w:r w:rsidRPr="0013708B">
        <w:rPr>
          <w:rFonts w:ascii="Tw Cen MT" w:hAnsi="Tw Cen MT"/>
          <w:b/>
          <w:color w:val="1432A3"/>
          <w:sz w:val="24"/>
          <w:szCs w:val="24"/>
        </w:rPr>
        <w:t>Interventions fitted to date</w:t>
      </w:r>
    </w:p>
    <w:tbl>
      <w:tblPr>
        <w:tblW w:w="0" w:type="auto"/>
        <w:jc w:val="center"/>
        <w:tblLook w:val="04A0" w:firstRow="1" w:lastRow="0" w:firstColumn="1" w:lastColumn="0" w:noHBand="0" w:noVBand="1"/>
      </w:tblPr>
      <w:tblGrid>
        <w:gridCol w:w="2006"/>
        <w:gridCol w:w="2006"/>
        <w:gridCol w:w="2005"/>
        <w:gridCol w:w="2005"/>
        <w:gridCol w:w="2005"/>
      </w:tblGrid>
      <w:tr w:rsidR="00AC220C" w:rsidRPr="0013708B" w14:paraId="74CCCB82" w14:textId="77777777">
        <w:trPr>
          <w:jc w:val="center"/>
        </w:trPr>
        <w:tc>
          <w:tcPr>
            <w:tcW w:w="2007" w:type="dxa"/>
            <w:tcBorders>
              <w:top w:val="single" w:sz="4" w:space="0" w:color="E5D37A"/>
              <w:left w:val="single" w:sz="4" w:space="0" w:color="E5D37A"/>
              <w:bottom w:val="single" w:sz="4" w:space="0" w:color="E5D37A"/>
              <w:right w:val="single" w:sz="4" w:space="0" w:color="E5D37A"/>
            </w:tcBorders>
            <w:shd w:val="clear" w:color="auto" w:fill="FFF9D6"/>
            <w:tcMar>
              <w:top w:w="110" w:type="dxa"/>
              <w:left w:w="80" w:type="dxa"/>
              <w:bottom w:w="110" w:type="dxa"/>
              <w:right w:w="80" w:type="dxa"/>
            </w:tcMar>
          </w:tcPr>
          <w:p w14:paraId="6B637ACD" w14:textId="70085B05" w:rsidR="00AC220C" w:rsidRPr="0013708B" w:rsidRDefault="0072022E">
            <w:pPr>
              <w:jc w:val="center"/>
              <w:rPr>
                <w:rFonts w:ascii="Tw Cen MT" w:hAnsi="Tw Cen MT"/>
                <w:sz w:val="24"/>
                <w:szCs w:val="24"/>
              </w:rPr>
            </w:pPr>
            <w:r w:rsidRPr="0013708B">
              <w:rPr>
                <w:rFonts w:ascii="Tw Cen MT" w:hAnsi="Tw Cen MT"/>
                <w:b/>
                <w:color w:val="1432A3"/>
                <w:sz w:val="24"/>
                <w:szCs w:val="24"/>
              </w:rPr>
              <w:t>Ali K</w:t>
            </w:r>
            <w:r w:rsidRPr="0013708B">
              <w:rPr>
                <w:rFonts w:ascii="Tw Cen MT" w:hAnsi="Tw Cen MT"/>
                <w:b/>
                <w:color w:val="1432A3"/>
                <w:sz w:val="24"/>
                <w:szCs w:val="24"/>
              </w:rPr>
              <w:br/>
            </w:r>
            <w:r w:rsidRPr="0013708B">
              <w:rPr>
                <w:rFonts w:ascii="Tw Cen MT" w:hAnsi="Tw Cen MT"/>
                <w:sz w:val="24"/>
                <w:szCs w:val="24"/>
              </w:rPr>
              <w:t>Below-elbow cosmetic + mechanical prosthetic</w:t>
            </w:r>
            <w:r w:rsidRPr="0013708B">
              <w:rPr>
                <w:rFonts w:ascii="Tw Cen MT" w:hAnsi="Tw Cen MT"/>
                <w:sz w:val="24"/>
                <w:szCs w:val="24"/>
              </w:rPr>
              <w:br/>
            </w:r>
          </w:p>
        </w:tc>
        <w:tc>
          <w:tcPr>
            <w:tcW w:w="2007" w:type="dxa"/>
            <w:tcBorders>
              <w:top w:val="single" w:sz="4" w:space="0" w:color="E5D37A"/>
              <w:left w:val="single" w:sz="4" w:space="0" w:color="E5D37A"/>
              <w:bottom w:val="single" w:sz="4" w:space="0" w:color="E5D37A"/>
              <w:right w:val="single" w:sz="4" w:space="0" w:color="E5D37A"/>
            </w:tcBorders>
            <w:shd w:val="clear" w:color="auto" w:fill="FFF9D6"/>
            <w:tcMar>
              <w:top w:w="110" w:type="dxa"/>
              <w:left w:w="80" w:type="dxa"/>
              <w:bottom w:w="110" w:type="dxa"/>
              <w:right w:w="80" w:type="dxa"/>
            </w:tcMar>
          </w:tcPr>
          <w:p w14:paraId="626AF671" w14:textId="0B98D2C5" w:rsidR="00AC220C" w:rsidRPr="0013708B" w:rsidRDefault="0072022E">
            <w:pPr>
              <w:jc w:val="center"/>
              <w:rPr>
                <w:rFonts w:ascii="Tw Cen MT" w:hAnsi="Tw Cen MT"/>
                <w:sz w:val="24"/>
                <w:szCs w:val="24"/>
              </w:rPr>
            </w:pPr>
            <w:r w:rsidRPr="0013708B">
              <w:rPr>
                <w:rFonts w:ascii="Tw Cen MT" w:hAnsi="Tw Cen MT"/>
                <w:b/>
                <w:color w:val="1432A3"/>
                <w:sz w:val="24"/>
                <w:szCs w:val="24"/>
              </w:rPr>
              <w:t>Mohamad H</w:t>
            </w:r>
            <w:r w:rsidRPr="0013708B">
              <w:rPr>
                <w:rFonts w:ascii="Tw Cen MT" w:hAnsi="Tw Cen MT"/>
                <w:b/>
                <w:color w:val="1432A3"/>
                <w:sz w:val="24"/>
                <w:szCs w:val="24"/>
              </w:rPr>
              <w:br/>
            </w:r>
            <w:r w:rsidRPr="0013708B">
              <w:rPr>
                <w:rFonts w:ascii="Tw Cen MT" w:hAnsi="Tw Cen MT"/>
                <w:sz w:val="24"/>
                <w:szCs w:val="24"/>
              </w:rPr>
              <w:t>Below-knee prosthetic</w:t>
            </w:r>
            <w:r w:rsidRPr="0013708B">
              <w:rPr>
                <w:rFonts w:ascii="Tw Cen MT" w:hAnsi="Tw Cen MT"/>
                <w:sz w:val="24"/>
                <w:szCs w:val="24"/>
              </w:rPr>
              <w:br/>
            </w:r>
          </w:p>
        </w:tc>
        <w:tc>
          <w:tcPr>
            <w:tcW w:w="2007" w:type="dxa"/>
            <w:tcBorders>
              <w:top w:val="single" w:sz="4" w:space="0" w:color="E5D37A"/>
              <w:left w:val="single" w:sz="4" w:space="0" w:color="E5D37A"/>
              <w:bottom w:val="single" w:sz="4" w:space="0" w:color="E5D37A"/>
              <w:right w:val="single" w:sz="4" w:space="0" w:color="E5D37A"/>
            </w:tcBorders>
            <w:shd w:val="clear" w:color="auto" w:fill="FFF9D6"/>
            <w:tcMar>
              <w:top w:w="110" w:type="dxa"/>
              <w:left w:w="80" w:type="dxa"/>
              <w:bottom w:w="110" w:type="dxa"/>
              <w:right w:w="80" w:type="dxa"/>
            </w:tcMar>
          </w:tcPr>
          <w:p w14:paraId="3C7D4383" w14:textId="00DA7E1A" w:rsidR="00AC220C" w:rsidRPr="0013708B" w:rsidRDefault="0072022E">
            <w:pPr>
              <w:jc w:val="center"/>
              <w:rPr>
                <w:rFonts w:ascii="Tw Cen MT" w:hAnsi="Tw Cen MT"/>
                <w:sz w:val="24"/>
                <w:szCs w:val="24"/>
              </w:rPr>
            </w:pPr>
            <w:r w:rsidRPr="0013708B">
              <w:rPr>
                <w:rFonts w:ascii="Tw Cen MT" w:hAnsi="Tw Cen MT"/>
                <w:b/>
                <w:color w:val="1432A3"/>
                <w:sz w:val="24"/>
                <w:szCs w:val="24"/>
              </w:rPr>
              <w:t>Hussein S</w:t>
            </w:r>
            <w:r w:rsidRPr="0013708B">
              <w:rPr>
                <w:rFonts w:ascii="Tw Cen MT" w:hAnsi="Tw Cen MT"/>
                <w:b/>
                <w:color w:val="1432A3"/>
                <w:sz w:val="24"/>
                <w:szCs w:val="24"/>
              </w:rPr>
              <w:br/>
            </w:r>
            <w:r w:rsidRPr="0013708B">
              <w:rPr>
                <w:rFonts w:ascii="Tw Cen MT" w:hAnsi="Tw Cen MT"/>
                <w:sz w:val="24"/>
                <w:szCs w:val="24"/>
              </w:rPr>
              <w:t>Below-knee prosthetic</w:t>
            </w:r>
            <w:r w:rsidRPr="0013708B">
              <w:rPr>
                <w:rFonts w:ascii="Tw Cen MT" w:hAnsi="Tw Cen MT"/>
                <w:sz w:val="24"/>
                <w:szCs w:val="24"/>
              </w:rPr>
              <w:br/>
            </w:r>
          </w:p>
        </w:tc>
        <w:tc>
          <w:tcPr>
            <w:tcW w:w="2007" w:type="dxa"/>
            <w:tcBorders>
              <w:top w:val="single" w:sz="4" w:space="0" w:color="E5D37A"/>
              <w:left w:val="single" w:sz="4" w:space="0" w:color="E5D37A"/>
              <w:bottom w:val="single" w:sz="4" w:space="0" w:color="E5D37A"/>
              <w:right w:val="single" w:sz="4" w:space="0" w:color="E5D37A"/>
            </w:tcBorders>
            <w:shd w:val="clear" w:color="auto" w:fill="FFF9D6"/>
            <w:tcMar>
              <w:top w:w="110" w:type="dxa"/>
              <w:left w:w="80" w:type="dxa"/>
              <w:bottom w:w="110" w:type="dxa"/>
              <w:right w:w="80" w:type="dxa"/>
            </w:tcMar>
          </w:tcPr>
          <w:p w14:paraId="2C93D919" w14:textId="59245734" w:rsidR="00AC220C" w:rsidRPr="0013708B" w:rsidRDefault="0072022E">
            <w:pPr>
              <w:jc w:val="center"/>
              <w:rPr>
                <w:rFonts w:ascii="Tw Cen MT" w:hAnsi="Tw Cen MT"/>
                <w:sz w:val="24"/>
                <w:szCs w:val="24"/>
              </w:rPr>
            </w:pPr>
            <w:r w:rsidRPr="0013708B">
              <w:rPr>
                <w:rFonts w:ascii="Tw Cen MT" w:hAnsi="Tw Cen MT"/>
                <w:b/>
                <w:color w:val="1432A3"/>
                <w:sz w:val="24"/>
                <w:szCs w:val="24"/>
              </w:rPr>
              <w:t>Fatima J</w:t>
            </w:r>
            <w:r w:rsidRPr="0013708B">
              <w:rPr>
                <w:rFonts w:ascii="Tw Cen MT" w:hAnsi="Tw Cen MT"/>
                <w:b/>
                <w:color w:val="1432A3"/>
                <w:sz w:val="24"/>
                <w:szCs w:val="24"/>
              </w:rPr>
              <w:br/>
            </w:r>
            <w:r w:rsidRPr="0013708B">
              <w:rPr>
                <w:rFonts w:ascii="Tw Cen MT" w:hAnsi="Tw Cen MT"/>
                <w:sz w:val="24"/>
                <w:szCs w:val="24"/>
              </w:rPr>
              <w:t>Partial foot orthotic</w:t>
            </w:r>
            <w:r w:rsidRPr="0013708B">
              <w:rPr>
                <w:rFonts w:ascii="Tw Cen MT" w:hAnsi="Tw Cen MT"/>
                <w:sz w:val="24"/>
                <w:szCs w:val="24"/>
              </w:rPr>
              <w:br/>
            </w:r>
          </w:p>
        </w:tc>
        <w:tc>
          <w:tcPr>
            <w:tcW w:w="2007" w:type="dxa"/>
            <w:tcBorders>
              <w:top w:val="single" w:sz="4" w:space="0" w:color="E5D37A"/>
              <w:left w:val="single" w:sz="4" w:space="0" w:color="E5D37A"/>
              <w:bottom w:val="single" w:sz="4" w:space="0" w:color="E5D37A"/>
              <w:right w:val="single" w:sz="4" w:space="0" w:color="E5D37A"/>
            </w:tcBorders>
            <w:shd w:val="clear" w:color="auto" w:fill="FFF9D6"/>
            <w:tcMar>
              <w:top w:w="110" w:type="dxa"/>
              <w:left w:w="80" w:type="dxa"/>
              <w:bottom w:w="110" w:type="dxa"/>
              <w:right w:w="80" w:type="dxa"/>
            </w:tcMar>
          </w:tcPr>
          <w:p w14:paraId="3EFC6C20" w14:textId="623242BA" w:rsidR="00AC220C" w:rsidRPr="0013708B" w:rsidRDefault="0072022E">
            <w:pPr>
              <w:jc w:val="center"/>
              <w:rPr>
                <w:rFonts w:ascii="Tw Cen MT" w:hAnsi="Tw Cen MT"/>
                <w:sz w:val="24"/>
                <w:szCs w:val="24"/>
              </w:rPr>
            </w:pPr>
            <w:r w:rsidRPr="0013708B">
              <w:rPr>
                <w:rFonts w:ascii="Tw Cen MT" w:hAnsi="Tw Cen MT"/>
                <w:b/>
                <w:color w:val="1432A3"/>
                <w:sz w:val="24"/>
                <w:szCs w:val="24"/>
              </w:rPr>
              <w:t>Hussein M</w:t>
            </w:r>
            <w:r w:rsidRPr="0013708B">
              <w:rPr>
                <w:rFonts w:ascii="Tw Cen MT" w:hAnsi="Tw Cen MT"/>
                <w:b/>
                <w:color w:val="1432A3"/>
                <w:sz w:val="24"/>
                <w:szCs w:val="24"/>
              </w:rPr>
              <w:br/>
            </w:r>
            <w:r w:rsidRPr="0013708B">
              <w:rPr>
                <w:rFonts w:ascii="Tw Cen MT" w:hAnsi="Tw Cen MT"/>
                <w:sz w:val="24"/>
                <w:szCs w:val="24"/>
              </w:rPr>
              <w:t>KAFO + GRAFO orthotic</w:t>
            </w:r>
            <w:r w:rsidRPr="0013708B">
              <w:rPr>
                <w:rFonts w:ascii="Tw Cen MT" w:hAnsi="Tw Cen MT"/>
                <w:sz w:val="24"/>
                <w:szCs w:val="24"/>
              </w:rPr>
              <w:br/>
            </w:r>
          </w:p>
        </w:tc>
      </w:tr>
    </w:tbl>
    <w:p w14:paraId="6FA829CB" w14:textId="77777777" w:rsidR="00AC220C" w:rsidRPr="0013708B" w:rsidRDefault="0072022E">
      <w:pPr>
        <w:rPr>
          <w:rFonts w:ascii="Tw Cen MT" w:hAnsi="Tw Cen MT"/>
          <w:sz w:val="24"/>
          <w:szCs w:val="24"/>
        </w:rPr>
      </w:pPr>
      <w:r w:rsidRPr="0013708B">
        <w:rPr>
          <w:rFonts w:ascii="Tw Cen MT" w:hAnsi="Tw Cen MT"/>
          <w:sz w:val="24"/>
          <w:szCs w:val="24"/>
        </w:rPr>
        <w:br w:type="page"/>
      </w:r>
    </w:p>
    <w:p w14:paraId="21583C6C" w14:textId="77777777" w:rsidR="00AC220C" w:rsidRPr="0013708B" w:rsidRDefault="0072022E">
      <w:pPr>
        <w:spacing w:before="80" w:after="160"/>
        <w:rPr>
          <w:rFonts w:ascii="Tw Cen MT" w:hAnsi="Tw Cen MT"/>
          <w:sz w:val="24"/>
          <w:szCs w:val="24"/>
        </w:rPr>
      </w:pPr>
      <w:r w:rsidRPr="0013708B">
        <w:rPr>
          <w:rFonts w:ascii="Tw Cen MT" w:hAnsi="Tw Cen MT"/>
          <w:b/>
          <w:color w:val="1432A3"/>
          <w:sz w:val="24"/>
          <w:szCs w:val="24"/>
        </w:rPr>
        <w:lastRenderedPageBreak/>
        <w:t>Case Studies</w:t>
      </w:r>
    </w:p>
    <w:tbl>
      <w:tblPr>
        <w:tblW w:w="0" w:type="auto"/>
        <w:jc w:val="center"/>
        <w:tblLook w:val="04A0" w:firstRow="1" w:lastRow="0" w:firstColumn="1" w:lastColumn="0" w:noHBand="0" w:noVBand="1"/>
      </w:tblPr>
      <w:tblGrid>
        <w:gridCol w:w="5008"/>
        <w:gridCol w:w="5009"/>
      </w:tblGrid>
      <w:tr w:rsidR="00AC220C" w:rsidRPr="0013708B" w14:paraId="5E64E33A" w14:textId="77777777">
        <w:trPr>
          <w:jc w:val="center"/>
        </w:trPr>
        <w:tc>
          <w:tcPr>
            <w:tcW w:w="5018" w:type="dxa"/>
            <w:tcBorders>
              <w:top w:val="single" w:sz="8" w:space="0" w:color="B7C2E8"/>
              <w:left w:val="single" w:sz="8" w:space="0" w:color="B7C2E8"/>
              <w:bottom w:val="single" w:sz="8" w:space="0" w:color="B7C2E8"/>
              <w:right w:val="single" w:sz="8" w:space="0" w:color="B7C2E8"/>
            </w:tcBorders>
            <w:shd w:val="clear" w:color="auto" w:fill="FFFFFF"/>
            <w:tcMar>
              <w:top w:w="220" w:type="dxa"/>
              <w:left w:w="180" w:type="dxa"/>
              <w:bottom w:w="220" w:type="dxa"/>
              <w:right w:w="180" w:type="dxa"/>
            </w:tcMar>
          </w:tcPr>
          <w:p w14:paraId="5112AF75" w14:textId="77777777" w:rsidR="00AC220C" w:rsidRPr="0013708B" w:rsidRDefault="0072022E">
            <w:pPr>
              <w:rPr>
                <w:rFonts w:ascii="Tw Cen MT" w:hAnsi="Tw Cen MT"/>
                <w:sz w:val="24"/>
                <w:szCs w:val="24"/>
              </w:rPr>
            </w:pPr>
            <w:r w:rsidRPr="0013708B">
              <w:rPr>
                <w:rFonts w:ascii="Tw Cen MT" w:hAnsi="Tw Cen MT"/>
                <w:b/>
                <w:color w:val="1432A3"/>
                <w:sz w:val="24"/>
                <w:szCs w:val="24"/>
              </w:rPr>
              <w:t>Ali K</w:t>
            </w:r>
          </w:p>
          <w:p w14:paraId="54E20C7F" w14:textId="77777777" w:rsidR="00AC220C" w:rsidRPr="0013708B" w:rsidRDefault="0072022E">
            <w:pPr>
              <w:spacing w:after="160" w:line="259" w:lineRule="auto"/>
              <w:rPr>
                <w:rFonts w:ascii="Tw Cen MT" w:hAnsi="Tw Cen MT"/>
                <w:sz w:val="24"/>
                <w:szCs w:val="24"/>
              </w:rPr>
            </w:pPr>
            <w:r w:rsidRPr="0013708B">
              <w:rPr>
                <w:rFonts w:ascii="Tw Cen MT" w:hAnsi="Tw Cen MT"/>
                <w:b/>
                <w:color w:val="4B5563"/>
                <w:sz w:val="24"/>
                <w:szCs w:val="24"/>
              </w:rPr>
              <w:t>Traumatic below-elbow amputation</w:t>
            </w:r>
          </w:p>
          <w:p w14:paraId="7F063AAD" w14:textId="77777777" w:rsidR="00AC220C" w:rsidRPr="0013708B" w:rsidRDefault="0072022E">
            <w:pPr>
              <w:spacing w:after="160" w:line="259" w:lineRule="auto"/>
              <w:rPr>
                <w:rFonts w:ascii="Tw Cen MT" w:hAnsi="Tw Cen MT"/>
                <w:sz w:val="24"/>
                <w:szCs w:val="24"/>
              </w:rPr>
            </w:pPr>
            <w:r w:rsidRPr="0013708B">
              <w:rPr>
                <w:rFonts w:ascii="Tw Cen MT" w:hAnsi="Tw Cen MT"/>
                <w:sz w:val="24"/>
                <w:szCs w:val="24"/>
              </w:rPr>
              <w:t>Ali was three years old at the time of injury. His rehabilitation pathway uses a phased model that gradually introduces more advanced prosthetic systems over time.</w:t>
            </w:r>
          </w:p>
          <w:p w14:paraId="2D05F72F" w14:textId="77777777" w:rsidR="00AC220C" w:rsidRPr="0013708B" w:rsidRDefault="0072022E">
            <w:pPr>
              <w:spacing w:after="40" w:line="259" w:lineRule="auto"/>
              <w:rPr>
                <w:rFonts w:ascii="Tw Cen MT" w:hAnsi="Tw Cen MT"/>
                <w:sz w:val="24"/>
                <w:szCs w:val="24"/>
              </w:rPr>
            </w:pPr>
            <w:r w:rsidRPr="0013708B">
              <w:rPr>
                <w:rFonts w:ascii="Tw Cen MT" w:hAnsi="Tw Cen MT"/>
                <w:b/>
                <w:color w:val="1432A3"/>
                <w:sz w:val="24"/>
                <w:szCs w:val="24"/>
              </w:rPr>
              <w:t>Support provided</w:t>
            </w:r>
          </w:p>
          <w:p w14:paraId="58E8951F"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Cosmetic prosthetic fitting</w:t>
            </w:r>
          </w:p>
          <w:p w14:paraId="6DADB84D"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Occupational therapy</w:t>
            </w:r>
          </w:p>
          <w:p w14:paraId="3C844D58"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Physical rehabilitation</w:t>
            </w:r>
          </w:p>
          <w:p w14:paraId="3A980E0C"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Prosthetic acceptance training</w:t>
            </w:r>
          </w:p>
          <w:p w14:paraId="76D3E2E6" w14:textId="77777777" w:rsidR="00DE2647" w:rsidRDefault="00DE2647">
            <w:pPr>
              <w:spacing w:after="40" w:line="259" w:lineRule="auto"/>
              <w:rPr>
                <w:rFonts w:ascii="Tw Cen MT" w:hAnsi="Tw Cen MT"/>
                <w:b/>
                <w:color w:val="1432A3"/>
                <w:sz w:val="24"/>
                <w:szCs w:val="24"/>
              </w:rPr>
            </w:pPr>
          </w:p>
          <w:p w14:paraId="0BC32CFE" w14:textId="77777777" w:rsidR="00DE2647" w:rsidRDefault="00DE2647">
            <w:pPr>
              <w:spacing w:after="40" w:line="259" w:lineRule="auto"/>
              <w:rPr>
                <w:rFonts w:ascii="Tw Cen MT" w:hAnsi="Tw Cen MT"/>
                <w:b/>
                <w:color w:val="1432A3"/>
                <w:sz w:val="24"/>
                <w:szCs w:val="24"/>
              </w:rPr>
            </w:pPr>
          </w:p>
          <w:p w14:paraId="2E6E0D1A" w14:textId="77777777" w:rsidR="00DE2647" w:rsidRDefault="00DE2647">
            <w:pPr>
              <w:spacing w:after="40" w:line="259" w:lineRule="auto"/>
              <w:rPr>
                <w:rFonts w:ascii="Tw Cen MT" w:hAnsi="Tw Cen MT"/>
                <w:b/>
                <w:color w:val="1432A3"/>
                <w:sz w:val="24"/>
                <w:szCs w:val="24"/>
              </w:rPr>
            </w:pPr>
          </w:p>
          <w:p w14:paraId="765FBD78" w14:textId="59A1C777" w:rsidR="00AC220C" w:rsidRPr="0013708B" w:rsidRDefault="0072022E">
            <w:pPr>
              <w:spacing w:after="40" w:line="259" w:lineRule="auto"/>
              <w:rPr>
                <w:rFonts w:ascii="Tw Cen MT" w:hAnsi="Tw Cen MT"/>
                <w:sz w:val="24"/>
                <w:szCs w:val="24"/>
              </w:rPr>
            </w:pPr>
            <w:proofErr w:type="gramStart"/>
            <w:r w:rsidRPr="0013708B">
              <w:rPr>
                <w:rFonts w:ascii="Tw Cen MT" w:hAnsi="Tw Cen MT"/>
                <w:b/>
                <w:color w:val="1432A3"/>
                <w:sz w:val="24"/>
                <w:szCs w:val="24"/>
              </w:rPr>
              <w:t>Current status</w:t>
            </w:r>
            <w:proofErr w:type="gramEnd"/>
          </w:p>
          <w:p w14:paraId="51F4A000" w14:textId="77777777" w:rsidR="00AC220C" w:rsidRPr="0013708B" w:rsidRDefault="0072022E">
            <w:pPr>
              <w:spacing w:after="0" w:line="259" w:lineRule="auto"/>
              <w:rPr>
                <w:rFonts w:ascii="Tw Cen MT" w:hAnsi="Tw Cen MT"/>
                <w:sz w:val="24"/>
                <w:szCs w:val="24"/>
              </w:rPr>
            </w:pPr>
            <w:r w:rsidRPr="0013708B">
              <w:rPr>
                <w:rFonts w:ascii="Tw Cen MT" w:hAnsi="Tw Cen MT"/>
                <w:sz w:val="24"/>
                <w:szCs w:val="24"/>
              </w:rPr>
              <w:t>Ali continues occupational and physical therapy under close monitoring. After six to nine months of training and rehabilitation, he is expected to progress toward myoelectric prosthetic fitting.</w:t>
            </w:r>
          </w:p>
        </w:tc>
        <w:tc>
          <w:tcPr>
            <w:tcW w:w="5018" w:type="dxa"/>
            <w:tcBorders>
              <w:top w:val="single" w:sz="8" w:space="0" w:color="B7C2E8"/>
              <w:left w:val="single" w:sz="8" w:space="0" w:color="B7C2E8"/>
              <w:bottom w:val="single" w:sz="8" w:space="0" w:color="B7C2E8"/>
              <w:right w:val="single" w:sz="8" w:space="0" w:color="B7C2E8"/>
            </w:tcBorders>
            <w:shd w:val="clear" w:color="auto" w:fill="F8FAFF"/>
            <w:tcMar>
              <w:top w:w="220" w:type="dxa"/>
              <w:left w:w="180" w:type="dxa"/>
              <w:bottom w:w="220" w:type="dxa"/>
              <w:right w:w="180" w:type="dxa"/>
            </w:tcMar>
          </w:tcPr>
          <w:p w14:paraId="30AB0022" w14:textId="77777777" w:rsidR="00AC220C" w:rsidRPr="0013708B" w:rsidRDefault="0072022E">
            <w:pPr>
              <w:rPr>
                <w:rFonts w:ascii="Tw Cen MT" w:hAnsi="Tw Cen MT"/>
                <w:sz w:val="24"/>
                <w:szCs w:val="24"/>
              </w:rPr>
            </w:pPr>
            <w:r w:rsidRPr="0013708B">
              <w:rPr>
                <w:rFonts w:ascii="Tw Cen MT" w:hAnsi="Tw Cen MT"/>
                <w:b/>
                <w:color w:val="1432A3"/>
                <w:sz w:val="24"/>
                <w:szCs w:val="24"/>
              </w:rPr>
              <w:t>Mohamad H</w:t>
            </w:r>
          </w:p>
          <w:p w14:paraId="2B30F3EA" w14:textId="77777777" w:rsidR="00AC220C" w:rsidRPr="0013708B" w:rsidRDefault="0072022E">
            <w:pPr>
              <w:spacing w:after="160" w:line="259" w:lineRule="auto"/>
              <w:rPr>
                <w:rFonts w:ascii="Tw Cen MT" w:hAnsi="Tw Cen MT"/>
                <w:sz w:val="24"/>
                <w:szCs w:val="24"/>
              </w:rPr>
            </w:pPr>
            <w:r w:rsidRPr="0013708B">
              <w:rPr>
                <w:rFonts w:ascii="Tw Cen MT" w:hAnsi="Tw Cen MT"/>
                <w:b/>
                <w:color w:val="4B5563"/>
                <w:sz w:val="24"/>
                <w:szCs w:val="24"/>
              </w:rPr>
              <w:t>Below-knee amputation</w:t>
            </w:r>
          </w:p>
          <w:p w14:paraId="100A3080" w14:textId="77777777" w:rsidR="00AC220C" w:rsidRPr="0013708B" w:rsidRDefault="0072022E">
            <w:pPr>
              <w:spacing w:after="160" w:line="259" w:lineRule="auto"/>
              <w:rPr>
                <w:rFonts w:ascii="Tw Cen MT" w:hAnsi="Tw Cen MT"/>
                <w:sz w:val="24"/>
                <w:szCs w:val="24"/>
              </w:rPr>
            </w:pPr>
            <w:r w:rsidRPr="0013708B">
              <w:rPr>
                <w:rFonts w:ascii="Tw Cen MT" w:hAnsi="Tw Cen MT"/>
                <w:sz w:val="24"/>
                <w:szCs w:val="24"/>
              </w:rPr>
              <w:t>Mohamad is a young active patient who sustained a below-knee amputation after being shot in South Lebanon. Due to his mobility goals and activity level, he required a high-activity prosthetic solution.</w:t>
            </w:r>
          </w:p>
          <w:p w14:paraId="71F365D4" w14:textId="77777777" w:rsidR="00AC220C" w:rsidRPr="0013708B" w:rsidRDefault="0072022E">
            <w:pPr>
              <w:spacing w:after="40" w:line="259" w:lineRule="auto"/>
              <w:rPr>
                <w:rFonts w:ascii="Tw Cen MT" w:hAnsi="Tw Cen MT"/>
                <w:sz w:val="24"/>
                <w:szCs w:val="24"/>
              </w:rPr>
            </w:pPr>
            <w:r w:rsidRPr="0013708B">
              <w:rPr>
                <w:rFonts w:ascii="Tw Cen MT" w:hAnsi="Tw Cen MT"/>
                <w:b/>
                <w:color w:val="1432A3"/>
                <w:sz w:val="24"/>
                <w:szCs w:val="24"/>
              </w:rPr>
              <w:t>Support provided</w:t>
            </w:r>
          </w:p>
          <w:p w14:paraId="21967339"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Clinical mobility assessment</w:t>
            </w:r>
          </w:p>
          <w:p w14:paraId="23CF1944"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Prosthetic alignment</w:t>
            </w:r>
          </w:p>
          <w:p w14:paraId="5B090B16"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Rehabilitation monitoring</w:t>
            </w:r>
          </w:p>
          <w:p w14:paraId="04FB2C7A"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Adaptation support</w:t>
            </w:r>
          </w:p>
          <w:p w14:paraId="32E603DC" w14:textId="77777777" w:rsidR="00AC220C" w:rsidRPr="0013708B" w:rsidRDefault="0072022E">
            <w:pPr>
              <w:spacing w:after="20"/>
              <w:ind w:left="216" w:hanging="216"/>
              <w:rPr>
                <w:rFonts w:ascii="Tw Cen MT" w:hAnsi="Tw Cen MT"/>
                <w:sz w:val="24"/>
                <w:szCs w:val="24"/>
              </w:rPr>
            </w:pPr>
            <w:r w:rsidRPr="0013708B">
              <w:rPr>
                <w:rFonts w:ascii="Tw Cen MT" w:hAnsi="Tw Cen MT"/>
                <w:color w:val="1432A3"/>
                <w:sz w:val="24"/>
                <w:szCs w:val="24"/>
              </w:rPr>
              <w:t xml:space="preserve">• </w:t>
            </w:r>
            <w:r w:rsidRPr="0013708B">
              <w:rPr>
                <w:rFonts w:ascii="Tw Cen MT" w:hAnsi="Tw Cen MT"/>
                <w:sz w:val="24"/>
                <w:szCs w:val="24"/>
              </w:rPr>
              <w:t>Continuous follow-up</w:t>
            </w:r>
          </w:p>
          <w:p w14:paraId="5BAAFADD" w14:textId="77777777" w:rsidR="00DE2647" w:rsidRDefault="00DE2647">
            <w:pPr>
              <w:spacing w:after="40" w:line="259" w:lineRule="auto"/>
              <w:rPr>
                <w:rFonts w:ascii="Tw Cen MT" w:hAnsi="Tw Cen MT"/>
                <w:b/>
                <w:color w:val="1432A3"/>
                <w:sz w:val="24"/>
                <w:szCs w:val="24"/>
              </w:rPr>
            </w:pPr>
          </w:p>
          <w:p w14:paraId="3D2EE9F6" w14:textId="39B479A1" w:rsidR="00AC220C" w:rsidRPr="0013708B" w:rsidRDefault="0072022E">
            <w:pPr>
              <w:spacing w:after="40" w:line="259" w:lineRule="auto"/>
              <w:rPr>
                <w:rFonts w:ascii="Tw Cen MT" w:hAnsi="Tw Cen MT"/>
                <w:sz w:val="24"/>
                <w:szCs w:val="24"/>
              </w:rPr>
            </w:pPr>
            <w:proofErr w:type="gramStart"/>
            <w:r w:rsidRPr="0013708B">
              <w:rPr>
                <w:rFonts w:ascii="Tw Cen MT" w:hAnsi="Tw Cen MT"/>
                <w:b/>
                <w:color w:val="1432A3"/>
                <w:sz w:val="24"/>
                <w:szCs w:val="24"/>
              </w:rPr>
              <w:t>Current status</w:t>
            </w:r>
            <w:proofErr w:type="gramEnd"/>
          </w:p>
          <w:p w14:paraId="4BD25071" w14:textId="77777777" w:rsidR="00AC220C" w:rsidRPr="0013708B" w:rsidRDefault="0072022E">
            <w:pPr>
              <w:spacing w:after="0" w:line="259" w:lineRule="auto"/>
              <w:rPr>
                <w:rFonts w:ascii="Tw Cen MT" w:hAnsi="Tw Cen MT"/>
                <w:sz w:val="24"/>
                <w:szCs w:val="24"/>
              </w:rPr>
            </w:pPr>
            <w:r w:rsidRPr="0013708B">
              <w:rPr>
                <w:rFonts w:ascii="Tw Cen MT" w:hAnsi="Tw Cen MT"/>
                <w:sz w:val="24"/>
                <w:szCs w:val="24"/>
              </w:rPr>
              <w:t>Mohamad continues rehabilitation and monitoring. His prosthetic is being re-adapted following additional surgeries to support continued functionality.</w:t>
            </w:r>
          </w:p>
        </w:tc>
      </w:tr>
    </w:tbl>
    <w:p w14:paraId="5244C3FE" w14:textId="77777777" w:rsidR="00DE2647" w:rsidRDefault="00DE2647">
      <w:pPr>
        <w:spacing w:after="80" w:line="259" w:lineRule="auto"/>
        <w:rPr>
          <w:rFonts w:ascii="Tw Cen MT" w:hAnsi="Tw Cen MT"/>
          <w:b/>
          <w:color w:val="1432A3"/>
          <w:sz w:val="24"/>
          <w:szCs w:val="24"/>
        </w:rPr>
      </w:pPr>
    </w:p>
    <w:p w14:paraId="5F6E22A7" w14:textId="3047EC66" w:rsidR="00AC220C" w:rsidRPr="0013708B" w:rsidRDefault="0072022E" w:rsidP="00DE2647">
      <w:pPr>
        <w:spacing w:after="0" w:line="259" w:lineRule="auto"/>
        <w:rPr>
          <w:rFonts w:ascii="Tw Cen MT" w:hAnsi="Tw Cen MT"/>
          <w:sz w:val="24"/>
          <w:szCs w:val="24"/>
        </w:rPr>
      </w:pPr>
      <w:r w:rsidRPr="0013708B">
        <w:rPr>
          <w:rFonts w:ascii="Tw Cen MT" w:hAnsi="Tw Cen MT"/>
          <w:b/>
          <w:color w:val="1432A3"/>
          <w:sz w:val="24"/>
          <w:szCs w:val="24"/>
        </w:rPr>
        <w:t>Looking Ahead</w:t>
      </w:r>
    </w:p>
    <w:p w14:paraId="1F3440CE" w14:textId="77777777" w:rsidR="00AC220C" w:rsidRPr="0013708B" w:rsidRDefault="0072022E">
      <w:pPr>
        <w:spacing w:after="120" w:line="259" w:lineRule="auto"/>
        <w:rPr>
          <w:rFonts w:ascii="Tw Cen MT" w:hAnsi="Tw Cen MT"/>
          <w:sz w:val="24"/>
          <w:szCs w:val="24"/>
        </w:rPr>
      </w:pPr>
      <w:r w:rsidRPr="0013708B">
        <w:rPr>
          <w:rFonts w:ascii="Tw Cen MT" w:hAnsi="Tw Cen MT"/>
          <w:sz w:val="24"/>
          <w:szCs w:val="24"/>
        </w:rPr>
        <w:t>As new injuries continue to be reported, sustained donor support remains critical to maintaining this specialized continuum of care. Continued support will help children access surgical interventions, advanced prosthetic fitting where clinically appropriate, physiotherapy, occupational therapy, psychosocial support, and long-term follow-up.</w:t>
      </w:r>
    </w:p>
    <w:tbl>
      <w:tblPr>
        <w:tblW w:w="0" w:type="auto"/>
        <w:tblLook w:val="04A0" w:firstRow="1" w:lastRow="0" w:firstColumn="1" w:lastColumn="0" w:noHBand="0" w:noVBand="1"/>
      </w:tblPr>
      <w:tblGrid>
        <w:gridCol w:w="10037"/>
      </w:tblGrid>
      <w:tr w:rsidR="00AC220C" w:rsidRPr="0013708B" w14:paraId="452135C3" w14:textId="77777777">
        <w:tc>
          <w:tcPr>
            <w:tcW w:w="10037" w:type="dxa"/>
            <w:tcBorders>
              <w:top w:val="single" w:sz="6" w:space="0" w:color="F2D866"/>
              <w:left w:val="nil"/>
              <w:bottom w:val="single" w:sz="6" w:space="0" w:color="F2D866"/>
              <w:right w:val="nil"/>
            </w:tcBorders>
            <w:shd w:val="clear" w:color="auto" w:fill="FFF9D6"/>
            <w:tcMar>
              <w:top w:w="120" w:type="dxa"/>
              <w:left w:w="180" w:type="dxa"/>
              <w:bottom w:w="120" w:type="dxa"/>
              <w:right w:w="180" w:type="dxa"/>
            </w:tcMar>
          </w:tcPr>
          <w:p w14:paraId="32A6D409" w14:textId="77777777" w:rsidR="00AC220C" w:rsidRPr="0013708B" w:rsidRDefault="0072022E">
            <w:pPr>
              <w:jc w:val="center"/>
              <w:rPr>
                <w:rFonts w:ascii="Tw Cen MT" w:hAnsi="Tw Cen MT"/>
                <w:sz w:val="24"/>
                <w:szCs w:val="24"/>
              </w:rPr>
            </w:pPr>
            <w:r w:rsidRPr="0013708B">
              <w:rPr>
                <w:rFonts w:ascii="Tw Cen MT" w:hAnsi="Tw Cen MT"/>
                <w:b/>
                <w:color w:val="1432A3"/>
                <w:sz w:val="24"/>
                <w:szCs w:val="24"/>
              </w:rPr>
              <w:t>Together, this support helps war-affected children recover mobility, independence, functionality, and quality of life.</w:t>
            </w:r>
          </w:p>
        </w:tc>
      </w:tr>
    </w:tbl>
    <w:p w14:paraId="54E640F7" w14:textId="77777777" w:rsidR="0072022E" w:rsidRPr="0013708B" w:rsidRDefault="0072022E">
      <w:pPr>
        <w:rPr>
          <w:rFonts w:ascii="Tw Cen MT" w:hAnsi="Tw Cen MT"/>
          <w:sz w:val="24"/>
          <w:szCs w:val="24"/>
        </w:rPr>
      </w:pPr>
    </w:p>
    <w:sectPr w:rsidR="0072022E" w:rsidRPr="0013708B" w:rsidSect="00034616">
      <w:headerReference w:type="default" r:id="rId9"/>
      <w:footerReference w:type="default" r:id="rId10"/>
      <w:pgSz w:w="11909" w:h="16834"/>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B5DD" w14:textId="77777777" w:rsidR="00C94B1A" w:rsidRDefault="00C94B1A">
      <w:pPr>
        <w:spacing w:after="0" w:line="240" w:lineRule="auto"/>
      </w:pPr>
      <w:r>
        <w:separator/>
      </w:r>
    </w:p>
  </w:endnote>
  <w:endnote w:type="continuationSeparator" w:id="0">
    <w:p w14:paraId="37863E03" w14:textId="77777777" w:rsidR="00C94B1A" w:rsidRDefault="00C9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C133" w14:textId="77777777" w:rsidR="00AC220C" w:rsidRDefault="0072022E">
    <w:pPr>
      <w:pStyle w:val="Footer"/>
      <w:jc w:val="center"/>
    </w:pPr>
    <w:r>
      <w:rPr>
        <w:color w:val="6B7280"/>
        <w:sz w:val="17"/>
      </w:rPr>
      <w:t>UNICEF Lebanon - Donor Update -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8B46" w14:textId="77777777" w:rsidR="00C94B1A" w:rsidRDefault="00C94B1A">
      <w:pPr>
        <w:spacing w:after="0" w:line="240" w:lineRule="auto"/>
      </w:pPr>
      <w:r>
        <w:separator/>
      </w:r>
    </w:p>
  </w:footnote>
  <w:footnote w:type="continuationSeparator" w:id="0">
    <w:p w14:paraId="2F5E7C10" w14:textId="77777777" w:rsidR="00C94B1A" w:rsidRDefault="00C9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AAEE" w14:textId="77777777" w:rsidR="00AC220C" w:rsidRDefault="0072022E">
    <w:pPr>
      <w:pStyle w:val="Header"/>
      <w:jc w:val="right"/>
    </w:pPr>
    <w:r>
      <w:rPr>
        <w:color w:val="6B7280"/>
        <w:sz w:val="17"/>
      </w:rPr>
      <w:t>ACWA Prosthetics Update | FIANZ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6223963">
    <w:abstractNumId w:val="8"/>
  </w:num>
  <w:num w:numId="2" w16cid:durableId="1386023228">
    <w:abstractNumId w:val="6"/>
  </w:num>
  <w:num w:numId="3" w16cid:durableId="1548759669">
    <w:abstractNumId w:val="5"/>
  </w:num>
  <w:num w:numId="4" w16cid:durableId="351299278">
    <w:abstractNumId w:val="4"/>
  </w:num>
  <w:num w:numId="5" w16cid:durableId="1199977521">
    <w:abstractNumId w:val="7"/>
  </w:num>
  <w:num w:numId="6" w16cid:durableId="297226128">
    <w:abstractNumId w:val="3"/>
  </w:num>
  <w:num w:numId="7" w16cid:durableId="1739669749">
    <w:abstractNumId w:val="2"/>
  </w:num>
  <w:num w:numId="8" w16cid:durableId="728309234">
    <w:abstractNumId w:val="1"/>
  </w:num>
  <w:num w:numId="9" w16cid:durableId="187079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5046"/>
    <w:rsid w:val="0013708B"/>
    <w:rsid w:val="0015074B"/>
    <w:rsid w:val="001C7188"/>
    <w:rsid w:val="0029639D"/>
    <w:rsid w:val="00326F90"/>
    <w:rsid w:val="003B3FFB"/>
    <w:rsid w:val="003E537F"/>
    <w:rsid w:val="00463447"/>
    <w:rsid w:val="0072022E"/>
    <w:rsid w:val="00772CE4"/>
    <w:rsid w:val="007D1E13"/>
    <w:rsid w:val="00AA1D8D"/>
    <w:rsid w:val="00AC220C"/>
    <w:rsid w:val="00B47730"/>
    <w:rsid w:val="00C94B1A"/>
    <w:rsid w:val="00CB0664"/>
    <w:rsid w:val="00CC069A"/>
    <w:rsid w:val="00DE26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855DDEC-4BCA-4FDF-BC37-F7FD7930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1F2937"/>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Elena Sylvester</cp:lastModifiedBy>
  <cp:revision>2</cp:revision>
  <dcterms:created xsi:type="dcterms:W3CDTF">2026-06-05T03:40:00Z</dcterms:created>
  <dcterms:modified xsi:type="dcterms:W3CDTF">2026-06-05T03:40:00Z</dcterms:modified>
  <cp:category/>
</cp:coreProperties>
</file>