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9C852" w14:textId="1A2DBF52" w:rsidR="0004632E" w:rsidRPr="00D51E4F" w:rsidRDefault="00D51E4F" w:rsidP="00D51E4F">
      <w:pPr>
        <w:pStyle w:val="Heading1"/>
        <w:rPr>
          <w:rFonts w:ascii="Calibri" w:hAnsi="Calibri" w:cs="Calibri"/>
          <w:b/>
          <w:bCs/>
          <w:color w:val="FF0000"/>
          <w:sz w:val="30"/>
          <w:szCs w:val="30"/>
        </w:rPr>
      </w:pPr>
      <w:r w:rsidRPr="00D51E4F">
        <w:rPr>
          <w:rFonts w:ascii="Calibri" w:hAnsi="Calibri" w:cs="Calibri"/>
          <w:b/>
          <w:bCs/>
          <w:color w:val="FF0000"/>
          <w:sz w:val="30"/>
          <w:szCs w:val="30"/>
        </w:rPr>
        <w:t>STRICTLY EMBARGOED UNTIL WEDNESDAY 24 JULY 14:00 CEST Rome Time /09:00 GMT-3 Rio Time</w:t>
      </w:r>
    </w:p>
    <w:p w14:paraId="686DD1E6" w14:textId="7831C36E" w:rsidR="008458EA" w:rsidRPr="008458EA" w:rsidRDefault="008458EA" w:rsidP="00C40D42">
      <w:pPr>
        <w:pStyle w:val="Heading1"/>
        <w:rPr>
          <w:rFonts w:ascii="Calibri" w:hAnsi="Calibri" w:cs="Calibri"/>
          <w:b/>
          <w:bCs/>
          <w:sz w:val="26"/>
          <w:szCs w:val="26"/>
        </w:rPr>
      </w:pPr>
      <w:r w:rsidRPr="008458EA">
        <w:rPr>
          <w:rFonts w:ascii="Calibri" w:hAnsi="Calibri" w:cs="Calibri"/>
          <w:b/>
          <w:bCs/>
          <w:sz w:val="26"/>
          <w:szCs w:val="26"/>
        </w:rPr>
        <w:t>FAO-IFAD-UNICEF-WFP-WHO Joint Press Release</w:t>
      </w:r>
    </w:p>
    <w:p w14:paraId="7152DD15" w14:textId="1ECE3902" w:rsidR="00C40D42" w:rsidRPr="008B2535" w:rsidRDefault="00C40D42" w:rsidP="00C40D42">
      <w:pPr>
        <w:pStyle w:val="Heading1"/>
        <w:rPr>
          <w:rFonts w:ascii="Calibri" w:hAnsi="Calibri" w:cs="Calibri"/>
        </w:rPr>
      </w:pPr>
      <w:r w:rsidRPr="008B2535">
        <w:rPr>
          <w:rFonts w:ascii="Calibri" w:hAnsi="Calibri" w:cs="Calibri"/>
        </w:rPr>
        <w:t>Hunger numbers stubbornly high for three consecutive years as global crises deepen: UN report</w:t>
      </w:r>
    </w:p>
    <w:p w14:paraId="0F17D3F9" w14:textId="18CF1C86" w:rsidR="00896C76" w:rsidRPr="00A952FB" w:rsidRDefault="00C40D42" w:rsidP="00A932AA">
      <w:pPr>
        <w:rPr>
          <w:rFonts w:ascii="Calibri" w:hAnsi="Calibri" w:cs="Calibri"/>
          <w:b/>
          <w:bCs/>
        </w:rPr>
      </w:pPr>
      <w:r w:rsidRPr="008B2535">
        <w:rPr>
          <w:rStyle w:val="Strong"/>
          <w:rFonts w:ascii="Calibri" w:eastAsiaTheme="majorEastAsia" w:hAnsi="Calibri" w:cs="Calibri"/>
        </w:rPr>
        <w:t>1 in 11 people worldwide faced hunger in 2023, 1 in 5 in Africa</w:t>
      </w:r>
    </w:p>
    <w:p w14:paraId="58E9104D" w14:textId="5DBC607B" w:rsidR="7E51EA1C" w:rsidRPr="00A952FB" w:rsidRDefault="7E51EA1C" w:rsidP="532B0444">
      <w:pPr>
        <w:rPr>
          <w:rFonts w:ascii="Calibri" w:hAnsi="Calibri" w:cs="Calibri"/>
          <w:b/>
          <w:bCs/>
        </w:rPr>
      </w:pPr>
      <w:r w:rsidRPr="00A952FB">
        <w:rPr>
          <w:rFonts w:ascii="Calibri" w:hAnsi="Calibri" w:cs="Calibri"/>
          <w:b/>
          <w:bCs/>
        </w:rPr>
        <w:t xml:space="preserve">24 </w:t>
      </w:r>
      <w:r w:rsidR="009340EE" w:rsidRPr="00A952FB">
        <w:rPr>
          <w:rFonts w:ascii="Calibri" w:hAnsi="Calibri" w:cs="Calibri"/>
          <w:b/>
          <w:bCs/>
        </w:rPr>
        <w:t>July</w:t>
      </w:r>
      <w:r w:rsidRPr="00A952FB">
        <w:rPr>
          <w:rFonts w:ascii="Calibri" w:hAnsi="Calibri" w:cs="Calibri"/>
          <w:b/>
          <w:bCs/>
        </w:rPr>
        <w:t xml:space="preserve"> 2024</w:t>
      </w:r>
    </w:p>
    <w:p w14:paraId="15E6E901" w14:textId="2AF51013" w:rsidR="002A5A31" w:rsidRPr="0044625D" w:rsidRDefault="00A932AA" w:rsidP="002A5A31">
      <w:pPr>
        <w:rPr>
          <w:rFonts w:ascii="Calibri" w:hAnsi="Calibri" w:cs="Calibri"/>
        </w:rPr>
      </w:pPr>
      <w:r w:rsidRPr="0044625D">
        <w:rPr>
          <w:rFonts w:ascii="Calibri" w:hAnsi="Calibri" w:cs="Calibri"/>
          <w:b/>
          <w:bCs/>
        </w:rPr>
        <w:t>Rio de Janeiro –</w:t>
      </w:r>
      <w:r w:rsidRPr="0044625D">
        <w:rPr>
          <w:rFonts w:ascii="Calibri" w:hAnsi="Calibri" w:cs="Calibri"/>
        </w:rPr>
        <w:t xml:space="preserve"> </w:t>
      </w:r>
      <w:r w:rsidR="6BBE0394" w:rsidRPr="0044625D">
        <w:rPr>
          <w:rFonts w:ascii="Calibri" w:hAnsi="Calibri" w:cs="Calibri"/>
        </w:rPr>
        <w:t>Around 733 million people faced hunger in 2023</w:t>
      </w:r>
      <w:r w:rsidR="002A5A31" w:rsidRPr="0044625D">
        <w:rPr>
          <w:rFonts w:ascii="Calibri" w:hAnsi="Calibri" w:cs="Calibri"/>
        </w:rPr>
        <w:t>, equivalent to one in eleven people globally and one in five in Africa, according to the latest State of Food Security and Nutrition in the World (SOFI) report published today by five United Nations specialized agencies</w:t>
      </w:r>
      <w:r w:rsidR="00374969" w:rsidRPr="0044625D">
        <w:rPr>
          <w:rFonts w:ascii="Calibri" w:hAnsi="Calibri" w:cs="Calibri"/>
        </w:rPr>
        <w:t>.</w:t>
      </w:r>
    </w:p>
    <w:p w14:paraId="7A4DF71C" w14:textId="22C996A3" w:rsidR="006F2DEC" w:rsidRPr="0044625D" w:rsidRDefault="002A5A31" w:rsidP="530B222D">
      <w:pPr>
        <w:rPr>
          <w:rFonts w:ascii="Calibri" w:eastAsia="Calibri" w:hAnsi="Calibri" w:cs="Calibri"/>
        </w:rPr>
      </w:pPr>
      <w:r w:rsidRPr="0044625D">
        <w:rPr>
          <w:rFonts w:ascii="Calibri" w:hAnsi="Calibri" w:cs="Calibri"/>
        </w:rPr>
        <w:t>The</w:t>
      </w:r>
      <w:r w:rsidR="00A932AA" w:rsidRPr="0044625D">
        <w:rPr>
          <w:rFonts w:ascii="Calibri" w:hAnsi="Calibri" w:cs="Calibri"/>
        </w:rPr>
        <w:t xml:space="preserve"> </w:t>
      </w:r>
      <w:r w:rsidR="009560DB" w:rsidRPr="0044625D">
        <w:rPr>
          <w:rFonts w:ascii="Calibri" w:hAnsi="Calibri" w:cs="Calibri"/>
        </w:rPr>
        <w:t xml:space="preserve">annual </w:t>
      </w:r>
      <w:r w:rsidR="00A932AA" w:rsidRPr="0044625D">
        <w:rPr>
          <w:rFonts w:ascii="Calibri" w:hAnsi="Calibri" w:cs="Calibri"/>
        </w:rPr>
        <w:t>report</w:t>
      </w:r>
      <w:r w:rsidR="00374969" w:rsidRPr="0044625D">
        <w:rPr>
          <w:rFonts w:ascii="Calibri" w:hAnsi="Calibri" w:cs="Calibri"/>
        </w:rPr>
        <w:t xml:space="preserve">, </w:t>
      </w:r>
      <w:r w:rsidR="009560DB" w:rsidRPr="0044625D">
        <w:rPr>
          <w:rFonts w:ascii="Calibri" w:hAnsi="Calibri" w:cs="Calibri"/>
        </w:rPr>
        <w:t>launched this year</w:t>
      </w:r>
      <w:r w:rsidR="00120864" w:rsidRPr="0044625D">
        <w:rPr>
          <w:rFonts w:ascii="Calibri" w:hAnsi="Calibri" w:cs="Calibri"/>
        </w:rPr>
        <w:t xml:space="preserve"> </w:t>
      </w:r>
      <w:r w:rsidR="00374969" w:rsidRPr="0044625D">
        <w:rPr>
          <w:rFonts w:ascii="Calibri" w:hAnsi="Calibri" w:cs="Calibri"/>
        </w:rPr>
        <w:t xml:space="preserve">in the context of the </w:t>
      </w:r>
      <w:hyperlink r:id="rId8">
        <w:r w:rsidR="00374969" w:rsidRPr="0044625D">
          <w:rPr>
            <w:rStyle w:val="Hyperlink"/>
            <w:rFonts w:ascii="Calibri" w:hAnsi="Calibri" w:cs="Calibri"/>
          </w:rPr>
          <w:t>G20 Global Alliance against Hunger and Poverty Task Force</w:t>
        </w:r>
      </w:hyperlink>
      <w:r w:rsidR="00374969" w:rsidRPr="0044625D">
        <w:rPr>
          <w:rFonts w:ascii="Calibri" w:hAnsi="Calibri" w:cs="Calibri"/>
        </w:rPr>
        <w:t xml:space="preserve"> Ministerial Meeting in Brazil,</w:t>
      </w:r>
      <w:r w:rsidR="00A932AA" w:rsidRPr="0044625D">
        <w:rPr>
          <w:rFonts w:ascii="Calibri" w:hAnsi="Calibri" w:cs="Calibri"/>
        </w:rPr>
        <w:t xml:space="preserve"> </w:t>
      </w:r>
      <w:r w:rsidR="00D811E5" w:rsidRPr="0044625D">
        <w:rPr>
          <w:rFonts w:ascii="Calibri" w:hAnsi="Calibri" w:cs="Calibri"/>
        </w:rPr>
        <w:t>warns</w:t>
      </w:r>
      <w:r w:rsidR="00A932AA" w:rsidRPr="0044625D">
        <w:rPr>
          <w:rFonts w:ascii="Calibri" w:hAnsi="Calibri" w:cs="Calibri"/>
        </w:rPr>
        <w:t xml:space="preserve"> </w:t>
      </w:r>
      <w:r w:rsidR="35A5DAA2" w:rsidRPr="0044625D">
        <w:rPr>
          <w:rFonts w:ascii="Calibri" w:hAnsi="Calibri" w:cs="Calibri"/>
        </w:rPr>
        <w:t xml:space="preserve">that </w:t>
      </w:r>
      <w:r w:rsidR="00A932AA" w:rsidRPr="0044625D">
        <w:rPr>
          <w:rFonts w:ascii="Calibri" w:hAnsi="Calibri" w:cs="Calibri"/>
        </w:rPr>
        <w:t xml:space="preserve">the world is falling significantly short of achieving Sustainable Development Goal (SDG) 2, </w:t>
      </w:r>
      <w:hyperlink r:id="rId9">
        <w:r w:rsidR="00A932AA" w:rsidRPr="0044625D">
          <w:rPr>
            <w:rStyle w:val="Hyperlink"/>
            <w:rFonts w:ascii="Calibri" w:hAnsi="Calibri" w:cs="Calibri"/>
          </w:rPr>
          <w:t>Zero Hunger</w:t>
        </w:r>
      </w:hyperlink>
      <w:r w:rsidR="00A932AA" w:rsidRPr="0044625D">
        <w:rPr>
          <w:rFonts w:ascii="Calibri" w:hAnsi="Calibri" w:cs="Calibri"/>
        </w:rPr>
        <w:t>, by 2030</w:t>
      </w:r>
      <w:r w:rsidR="147F2B2F" w:rsidRPr="0044625D">
        <w:rPr>
          <w:rFonts w:ascii="Calibri" w:hAnsi="Calibri" w:cs="Calibri"/>
        </w:rPr>
        <w:t xml:space="preserve">. </w:t>
      </w:r>
      <w:r w:rsidR="2B6AA952" w:rsidRPr="0044625D">
        <w:rPr>
          <w:rFonts w:ascii="Calibri" w:eastAsia="Calibri" w:hAnsi="Calibri" w:cs="Calibri"/>
        </w:rPr>
        <w:t xml:space="preserve"> </w:t>
      </w:r>
      <w:r w:rsidR="00825B93" w:rsidRPr="0044625D">
        <w:rPr>
          <w:rFonts w:ascii="Calibri" w:eastAsia="Calibri" w:hAnsi="Calibri" w:cs="Calibri"/>
        </w:rPr>
        <w:t xml:space="preserve">The report shows that the world has been set back 15 years, with levels </w:t>
      </w:r>
      <w:r w:rsidR="2B6AA952" w:rsidRPr="0044625D">
        <w:rPr>
          <w:rFonts w:ascii="Calibri" w:eastAsia="Calibri" w:hAnsi="Calibri" w:cs="Calibri"/>
        </w:rPr>
        <w:t>of undernourishment comparable to those in 2008-2009.</w:t>
      </w:r>
      <w:r w:rsidR="50206B48" w:rsidRPr="0044625D">
        <w:rPr>
          <w:rFonts w:ascii="Calibri" w:eastAsia="Calibri" w:hAnsi="Calibri" w:cs="Calibri"/>
        </w:rPr>
        <w:t xml:space="preserve"> </w:t>
      </w:r>
    </w:p>
    <w:p w14:paraId="6F4A5E3D" w14:textId="6F96D983" w:rsidR="00F11B2A" w:rsidRPr="0044625D" w:rsidRDefault="50206B48" w:rsidP="003570C5">
      <w:pPr>
        <w:rPr>
          <w:rFonts w:ascii="Calibri" w:eastAsia="Calibri" w:hAnsi="Calibri" w:cs="Calibri"/>
        </w:rPr>
      </w:pPr>
      <w:r w:rsidRPr="0044625D">
        <w:rPr>
          <w:rFonts w:ascii="Calibri" w:eastAsia="Calibri" w:hAnsi="Calibri" w:cs="Calibri"/>
        </w:rPr>
        <w:t>Despite some progress in specific areas</w:t>
      </w:r>
      <w:r w:rsidR="0BAD36F0" w:rsidRPr="0044625D">
        <w:rPr>
          <w:rFonts w:ascii="Calibri" w:eastAsia="Calibri" w:hAnsi="Calibri" w:cs="Calibri"/>
        </w:rPr>
        <w:t xml:space="preserve"> such as stunting and exclusive breastfeeding</w:t>
      </w:r>
      <w:r w:rsidRPr="0044625D">
        <w:rPr>
          <w:rFonts w:ascii="Calibri" w:eastAsia="Calibri" w:hAnsi="Calibri" w:cs="Calibri"/>
        </w:rPr>
        <w:t xml:space="preserve">, an alarming number of people continue to face food </w:t>
      </w:r>
      <w:r w:rsidR="00290F16" w:rsidRPr="0044625D">
        <w:rPr>
          <w:rFonts w:ascii="Calibri" w:eastAsia="Calibri" w:hAnsi="Calibri" w:cs="Calibri"/>
        </w:rPr>
        <w:t>in</w:t>
      </w:r>
      <w:r w:rsidRPr="0044625D">
        <w:rPr>
          <w:rFonts w:ascii="Calibri" w:eastAsia="Calibri" w:hAnsi="Calibri" w:cs="Calibri"/>
        </w:rPr>
        <w:t>security and malnutrition as global hunger levels have plateaued for three consecutive years, with between 713 and 757 million people undernourished</w:t>
      </w:r>
      <w:r w:rsidR="32B22A11" w:rsidRPr="0044625D">
        <w:rPr>
          <w:rFonts w:ascii="Calibri" w:eastAsia="Calibri" w:hAnsi="Calibri" w:cs="Calibri"/>
        </w:rPr>
        <w:t xml:space="preserve"> in 2023</w:t>
      </w:r>
      <w:r w:rsidRPr="0044625D">
        <w:rPr>
          <w:rFonts w:ascii="Calibri" w:eastAsia="Calibri" w:hAnsi="Calibri" w:cs="Calibri"/>
        </w:rPr>
        <w:t>—</w:t>
      </w:r>
      <w:r w:rsidR="00290F16" w:rsidRPr="0044625D">
        <w:rPr>
          <w:rFonts w:ascii="Calibri" w:eastAsia="Calibri" w:hAnsi="Calibri" w:cs="Calibri"/>
        </w:rPr>
        <w:t>approximately 152 million more than in 2019 when considering the mid-range (733 million).</w:t>
      </w:r>
    </w:p>
    <w:p w14:paraId="58E1726D" w14:textId="24D38D5A" w:rsidR="001E30DC" w:rsidRPr="0044625D" w:rsidRDefault="003570C5" w:rsidP="532B0444">
      <w:pPr>
        <w:rPr>
          <w:rFonts w:ascii="Calibri" w:hAnsi="Calibri" w:cs="Calibri"/>
        </w:rPr>
      </w:pPr>
      <w:r w:rsidRPr="0044625D">
        <w:rPr>
          <w:rFonts w:ascii="Calibri" w:hAnsi="Calibri" w:cs="Calibri"/>
        </w:rPr>
        <w:t xml:space="preserve">Regional trends vary significantly: </w:t>
      </w:r>
      <w:r w:rsidR="009A0A26" w:rsidRPr="0044625D">
        <w:rPr>
          <w:rFonts w:ascii="Calibri" w:hAnsi="Calibri" w:cs="Calibri"/>
        </w:rPr>
        <w:t>the percentage of the population facing hunger</w:t>
      </w:r>
      <w:r w:rsidRPr="0044625D">
        <w:rPr>
          <w:rFonts w:ascii="Calibri" w:hAnsi="Calibri" w:cs="Calibri"/>
        </w:rPr>
        <w:t xml:space="preserve"> continues to rise in Africa</w:t>
      </w:r>
      <w:r w:rsidR="009A0A26" w:rsidRPr="0044625D">
        <w:rPr>
          <w:rFonts w:ascii="Calibri" w:hAnsi="Calibri" w:cs="Calibri"/>
        </w:rPr>
        <w:t xml:space="preserve"> (20.4 percent)</w:t>
      </w:r>
      <w:r w:rsidRPr="0044625D">
        <w:rPr>
          <w:rFonts w:ascii="Calibri" w:hAnsi="Calibri" w:cs="Calibri"/>
        </w:rPr>
        <w:t>, remains stable in Asia</w:t>
      </w:r>
      <w:r w:rsidR="009A0A26" w:rsidRPr="0044625D">
        <w:rPr>
          <w:rFonts w:ascii="Calibri" w:hAnsi="Calibri" w:cs="Calibri"/>
        </w:rPr>
        <w:t xml:space="preserve"> (8.1 percent)</w:t>
      </w:r>
      <w:r w:rsidRPr="0044625D">
        <w:rPr>
          <w:rFonts w:ascii="Calibri" w:hAnsi="Calibri" w:cs="Calibri"/>
        </w:rPr>
        <w:t>—</w:t>
      </w:r>
      <w:r w:rsidR="47BB043E" w:rsidRPr="0044625D">
        <w:rPr>
          <w:rFonts w:ascii="Calibri" w:hAnsi="Calibri" w:cs="Calibri"/>
        </w:rPr>
        <w:t xml:space="preserve">though </w:t>
      </w:r>
      <w:r w:rsidRPr="0044625D">
        <w:rPr>
          <w:rFonts w:ascii="Calibri" w:hAnsi="Calibri" w:cs="Calibri"/>
        </w:rPr>
        <w:t>still representing a significant challenge</w:t>
      </w:r>
      <w:r w:rsidR="680ECCE2" w:rsidRPr="0044625D">
        <w:rPr>
          <w:rFonts w:ascii="Calibri" w:hAnsi="Calibri" w:cs="Calibri"/>
        </w:rPr>
        <w:t xml:space="preserve"> </w:t>
      </w:r>
      <w:r w:rsidR="680ECCE2" w:rsidRPr="0044625D">
        <w:rPr>
          <w:rFonts w:ascii="Calibri" w:eastAsia="Calibri" w:hAnsi="Calibri" w:cs="Calibri"/>
        </w:rPr>
        <w:t xml:space="preserve">as the region is home to more than half of those facing hunger worldwide </w:t>
      </w:r>
      <w:r w:rsidRPr="0044625D">
        <w:rPr>
          <w:rFonts w:ascii="Calibri" w:hAnsi="Calibri" w:cs="Calibri"/>
        </w:rPr>
        <w:t>—and shows progress in Latin America</w:t>
      </w:r>
      <w:r w:rsidR="009A0A26" w:rsidRPr="0044625D">
        <w:rPr>
          <w:rFonts w:ascii="Calibri" w:hAnsi="Calibri" w:cs="Calibri"/>
        </w:rPr>
        <w:t xml:space="preserve"> (6.2 percent)</w:t>
      </w:r>
      <w:r w:rsidRPr="0044625D">
        <w:rPr>
          <w:rFonts w:ascii="Calibri" w:hAnsi="Calibri" w:cs="Calibri"/>
        </w:rPr>
        <w:t xml:space="preserve">. </w:t>
      </w:r>
      <w:r w:rsidR="4DF73030" w:rsidRPr="0044625D">
        <w:rPr>
          <w:rFonts w:ascii="Calibri" w:hAnsi="Calibri" w:cs="Calibri"/>
        </w:rPr>
        <w:t>F</w:t>
      </w:r>
      <w:r w:rsidRPr="0044625D">
        <w:rPr>
          <w:rFonts w:ascii="Calibri" w:hAnsi="Calibri" w:cs="Calibri"/>
        </w:rPr>
        <w:t>rom 2022 to 2023, hunger increased in Western Asia, the Caribbean, and most African subregions.</w:t>
      </w:r>
    </w:p>
    <w:p w14:paraId="78A5581E" w14:textId="3366CBD0" w:rsidR="00E105A3" w:rsidRPr="0044625D" w:rsidRDefault="00672EAF" w:rsidP="00A932AA">
      <w:pPr>
        <w:rPr>
          <w:rFonts w:ascii="Calibri" w:hAnsi="Calibri" w:cs="Calibri"/>
        </w:rPr>
      </w:pPr>
      <w:r w:rsidRPr="0044625D">
        <w:rPr>
          <w:rFonts w:ascii="Calibri" w:hAnsi="Calibri" w:cs="Calibri"/>
          <w:shd w:val="clear" w:color="auto" w:fill="FFFFFF"/>
        </w:rPr>
        <w:t xml:space="preserve">If current trends continue, about 582 million people will be chronically undernourished in 2030, half of them in Africa, </w:t>
      </w:r>
      <w:r w:rsidR="770734F7" w:rsidRPr="0044625D">
        <w:rPr>
          <w:rFonts w:ascii="Calibri" w:hAnsi="Calibri" w:cs="Calibri"/>
          <w:shd w:val="clear" w:color="auto" w:fill="FFFFFF"/>
        </w:rPr>
        <w:t xml:space="preserve">warn </w:t>
      </w:r>
      <w:r w:rsidRPr="0044625D">
        <w:rPr>
          <w:rFonts w:ascii="Calibri" w:hAnsi="Calibri" w:cs="Calibri"/>
          <w:shd w:val="clear" w:color="auto" w:fill="FFFFFF"/>
        </w:rPr>
        <w:t xml:space="preserve">the Food and Agriculture Organization of the United Nations (FAO), the International Fund for Agricultural Development (IFAD), the United Nations Children's Fund (UNICEF), the </w:t>
      </w:r>
      <w:r w:rsidR="334DAD63" w:rsidRPr="0044625D">
        <w:rPr>
          <w:rFonts w:ascii="Calibri" w:hAnsi="Calibri" w:cs="Calibri"/>
          <w:shd w:val="clear" w:color="auto" w:fill="FFFFFF"/>
        </w:rPr>
        <w:t xml:space="preserve">UN </w:t>
      </w:r>
      <w:r w:rsidRPr="0044625D">
        <w:rPr>
          <w:rFonts w:ascii="Calibri" w:hAnsi="Calibri" w:cs="Calibri"/>
          <w:shd w:val="clear" w:color="auto" w:fill="FFFFFF"/>
        </w:rPr>
        <w:t xml:space="preserve">World Food </w:t>
      </w:r>
      <w:proofErr w:type="spellStart"/>
      <w:r w:rsidRPr="0044625D">
        <w:rPr>
          <w:rFonts w:ascii="Calibri" w:hAnsi="Calibri" w:cs="Calibri"/>
          <w:shd w:val="clear" w:color="auto" w:fill="FFFFFF"/>
        </w:rPr>
        <w:t>Programme</w:t>
      </w:r>
      <w:proofErr w:type="spellEnd"/>
      <w:r w:rsidRPr="0044625D">
        <w:rPr>
          <w:rFonts w:ascii="Calibri" w:hAnsi="Calibri" w:cs="Calibri"/>
          <w:shd w:val="clear" w:color="auto" w:fill="FFFFFF"/>
        </w:rPr>
        <w:t xml:space="preserve"> (WFP), and the World Health Organization (WHO). </w:t>
      </w:r>
      <w:r w:rsidR="004F1B07" w:rsidRPr="0044625D">
        <w:rPr>
          <w:rFonts w:ascii="Calibri" w:hAnsi="Calibri" w:cs="Calibri"/>
          <w:shd w:val="clear" w:color="auto" w:fill="FFFFFF"/>
        </w:rPr>
        <w:t xml:space="preserve">This projection closely resembles the </w:t>
      </w:r>
      <w:r w:rsidR="00BC4949" w:rsidRPr="0044625D">
        <w:rPr>
          <w:rFonts w:ascii="Calibri" w:hAnsi="Calibri" w:cs="Calibri"/>
          <w:shd w:val="clear" w:color="auto" w:fill="FFFFFF"/>
        </w:rPr>
        <w:t>levels</w:t>
      </w:r>
      <w:r w:rsidR="004F1B07" w:rsidRPr="0044625D">
        <w:rPr>
          <w:rFonts w:ascii="Calibri" w:hAnsi="Calibri" w:cs="Calibri"/>
          <w:shd w:val="clear" w:color="auto" w:fill="FFFFFF"/>
        </w:rPr>
        <w:t xml:space="preserve"> seen in 2015 when the </w:t>
      </w:r>
      <w:hyperlink r:id="rId10" w:history="1">
        <w:r w:rsidR="004F1B07" w:rsidRPr="0044625D">
          <w:rPr>
            <w:rStyle w:val="Hyperlink"/>
            <w:rFonts w:ascii="Calibri" w:hAnsi="Calibri" w:cs="Calibri"/>
            <w:shd w:val="clear" w:color="auto" w:fill="FFFFFF"/>
          </w:rPr>
          <w:t>Sustainable Development Goals</w:t>
        </w:r>
      </w:hyperlink>
      <w:r w:rsidR="004F1B07" w:rsidRPr="0044625D">
        <w:rPr>
          <w:rFonts w:ascii="Calibri" w:hAnsi="Calibri" w:cs="Calibri"/>
          <w:shd w:val="clear" w:color="auto" w:fill="FFFFFF"/>
        </w:rPr>
        <w:t xml:space="preserve"> were adopted, marking a </w:t>
      </w:r>
      <w:r w:rsidR="004E0A11" w:rsidRPr="0044625D">
        <w:rPr>
          <w:rFonts w:ascii="Calibri" w:hAnsi="Calibri" w:cs="Calibri"/>
          <w:shd w:val="clear" w:color="auto" w:fill="FFFFFF"/>
        </w:rPr>
        <w:t>concerning</w:t>
      </w:r>
      <w:r w:rsidR="004F1B07" w:rsidRPr="0044625D">
        <w:rPr>
          <w:rFonts w:ascii="Calibri" w:hAnsi="Calibri" w:cs="Calibri"/>
          <w:shd w:val="clear" w:color="auto" w:fill="FFFFFF"/>
        </w:rPr>
        <w:t xml:space="preserve"> </w:t>
      </w:r>
      <w:r w:rsidR="00AE39F3" w:rsidRPr="0044625D">
        <w:rPr>
          <w:rFonts w:ascii="Calibri" w:hAnsi="Calibri" w:cs="Calibri"/>
          <w:shd w:val="clear" w:color="auto" w:fill="FFFFFF"/>
        </w:rPr>
        <w:t>stagnation</w:t>
      </w:r>
      <w:r w:rsidR="004F1B07" w:rsidRPr="0044625D">
        <w:rPr>
          <w:rFonts w:ascii="Calibri" w:hAnsi="Calibri" w:cs="Calibri"/>
          <w:shd w:val="clear" w:color="auto" w:fill="FFFFFF"/>
        </w:rPr>
        <w:t xml:space="preserve"> in progress.</w:t>
      </w:r>
      <w:r w:rsidR="00046BB4" w:rsidRPr="0044625D">
        <w:rPr>
          <w:rFonts w:ascii="Calibri" w:hAnsi="Calibri" w:cs="Calibri"/>
        </w:rPr>
        <w:t xml:space="preserve"> </w:t>
      </w:r>
    </w:p>
    <w:p w14:paraId="58AA4D37" w14:textId="5ABCCC18" w:rsidR="00856E37" w:rsidRPr="0044625D" w:rsidRDefault="00333040" w:rsidP="00A932AA">
      <w:pPr>
        <w:rPr>
          <w:rFonts w:ascii="Calibri" w:hAnsi="Calibri" w:cs="Calibri"/>
          <w:b/>
          <w:bCs/>
          <w:shd w:val="clear" w:color="auto" w:fill="FFFFFF"/>
        </w:rPr>
      </w:pPr>
      <w:r w:rsidRPr="0044625D">
        <w:rPr>
          <w:rFonts w:ascii="Calibri" w:hAnsi="Calibri" w:cs="Calibri"/>
          <w:b/>
          <w:bCs/>
          <w:shd w:val="clear" w:color="auto" w:fill="FFFFFF"/>
        </w:rPr>
        <w:t>Key findings beyond hunger</w:t>
      </w:r>
    </w:p>
    <w:p w14:paraId="0D5DF3FE" w14:textId="6506491E" w:rsidR="00757356" w:rsidRPr="0044625D" w:rsidRDefault="00EE036C" w:rsidP="00A932AA">
      <w:pPr>
        <w:rPr>
          <w:rFonts w:ascii="Calibri" w:hAnsi="Calibri" w:cs="Calibri"/>
        </w:rPr>
      </w:pPr>
      <w:r w:rsidRPr="0044625D">
        <w:rPr>
          <w:rFonts w:ascii="Calibri" w:hAnsi="Calibri" w:cs="Calibri"/>
        </w:rPr>
        <w:t>The report highlights that a</w:t>
      </w:r>
      <w:r w:rsidR="00A932AA" w:rsidRPr="0044625D">
        <w:rPr>
          <w:rFonts w:ascii="Calibri" w:hAnsi="Calibri" w:cs="Calibri"/>
        </w:rPr>
        <w:t xml:space="preserve">ccess to adequate food remains elusive for billions. </w:t>
      </w:r>
      <w:r w:rsidR="00757356" w:rsidRPr="0044625D">
        <w:rPr>
          <w:rFonts w:ascii="Calibri" w:hAnsi="Calibri" w:cs="Calibri"/>
        </w:rPr>
        <w:t>In 2023, around 2.33 billion people globally faced moderate or severe food insecurity, a number that has</w:t>
      </w:r>
      <w:r w:rsidR="00290F16" w:rsidRPr="0044625D">
        <w:rPr>
          <w:rFonts w:ascii="Calibri" w:hAnsi="Calibri" w:cs="Calibri"/>
        </w:rPr>
        <w:t xml:space="preserve"> no</w:t>
      </w:r>
      <w:r w:rsidR="00757356" w:rsidRPr="0044625D">
        <w:rPr>
          <w:rFonts w:ascii="Calibri" w:hAnsi="Calibri" w:cs="Calibri"/>
        </w:rPr>
        <w:t xml:space="preserve">t changed significantly since the </w:t>
      </w:r>
      <w:r w:rsidR="00825B93" w:rsidRPr="0044625D">
        <w:rPr>
          <w:rFonts w:ascii="Calibri" w:hAnsi="Calibri" w:cs="Calibri"/>
        </w:rPr>
        <w:t xml:space="preserve">sharp upturn in 2020, </w:t>
      </w:r>
      <w:r w:rsidR="005E34AF" w:rsidRPr="0044625D">
        <w:rPr>
          <w:rFonts w:ascii="Calibri" w:hAnsi="Calibri" w:cs="Calibri"/>
        </w:rPr>
        <w:t>amid</w:t>
      </w:r>
      <w:r w:rsidR="00825B93" w:rsidRPr="0044625D">
        <w:rPr>
          <w:rFonts w:ascii="Calibri" w:hAnsi="Calibri" w:cs="Calibri"/>
        </w:rPr>
        <w:t xml:space="preserve"> the COVID-19 pandemic</w:t>
      </w:r>
      <w:r w:rsidR="00757356" w:rsidRPr="0044625D">
        <w:rPr>
          <w:rFonts w:ascii="Calibri" w:hAnsi="Calibri" w:cs="Calibri"/>
        </w:rPr>
        <w:t xml:space="preserve">. Among those, over 864 </w:t>
      </w:r>
      <w:r w:rsidR="00757356" w:rsidRPr="0044625D">
        <w:rPr>
          <w:rFonts w:ascii="Calibri" w:hAnsi="Calibri" w:cs="Calibri"/>
        </w:rPr>
        <w:lastRenderedPageBreak/>
        <w:t xml:space="preserve">million people experienced severe food insecurity, going without food for an entire day or more at times. This number has remained stubbornly high since </w:t>
      </w:r>
      <w:r w:rsidR="001E7D74" w:rsidRPr="0044625D">
        <w:rPr>
          <w:rFonts w:ascii="Calibri" w:hAnsi="Calibri" w:cs="Calibri"/>
        </w:rPr>
        <w:t>2020</w:t>
      </w:r>
      <w:r w:rsidR="00E049B9" w:rsidRPr="0044625D">
        <w:rPr>
          <w:rFonts w:ascii="Calibri" w:hAnsi="Calibri" w:cs="Calibri"/>
        </w:rPr>
        <w:t xml:space="preserve"> and w</w:t>
      </w:r>
      <w:r w:rsidR="00700171" w:rsidRPr="0044625D">
        <w:rPr>
          <w:rFonts w:ascii="Calibri" w:hAnsi="Calibri" w:cs="Calibri"/>
        </w:rPr>
        <w:t>hile Latin America shows improvement, broader challenges persist</w:t>
      </w:r>
      <w:r w:rsidR="00E415BB" w:rsidRPr="0044625D">
        <w:rPr>
          <w:rFonts w:ascii="Calibri" w:hAnsi="Calibri" w:cs="Calibri"/>
        </w:rPr>
        <w:t>, especially in Africa</w:t>
      </w:r>
      <w:r w:rsidR="005F1F9F" w:rsidRPr="0044625D">
        <w:rPr>
          <w:rFonts w:ascii="Calibri" w:hAnsi="Calibri" w:cs="Calibri"/>
        </w:rPr>
        <w:t xml:space="preserve"> where 58 percent of the population is</w:t>
      </w:r>
      <w:r w:rsidR="001E7D74" w:rsidRPr="0044625D">
        <w:rPr>
          <w:rFonts w:ascii="Calibri" w:hAnsi="Calibri" w:cs="Calibri"/>
        </w:rPr>
        <w:t xml:space="preserve"> moderately or severely</w:t>
      </w:r>
      <w:r w:rsidR="005F1F9F" w:rsidRPr="0044625D">
        <w:rPr>
          <w:rFonts w:ascii="Calibri" w:hAnsi="Calibri" w:cs="Calibri"/>
        </w:rPr>
        <w:t xml:space="preserve"> food insecure</w:t>
      </w:r>
      <w:r w:rsidR="00700171" w:rsidRPr="0044625D">
        <w:rPr>
          <w:rFonts w:ascii="Calibri" w:hAnsi="Calibri" w:cs="Calibri"/>
        </w:rPr>
        <w:t>.</w:t>
      </w:r>
    </w:p>
    <w:p w14:paraId="51B14238" w14:textId="63513F81" w:rsidR="00A932AA" w:rsidRPr="0044625D" w:rsidRDefault="00C21D8F" w:rsidP="532B0444">
      <w:pPr>
        <w:spacing w:line="257" w:lineRule="auto"/>
        <w:rPr>
          <w:rFonts w:ascii="Calibri" w:eastAsia="Calibri" w:hAnsi="Calibri" w:cs="Calibri"/>
        </w:rPr>
      </w:pPr>
      <w:r w:rsidRPr="0044625D">
        <w:rPr>
          <w:rFonts w:ascii="Calibri" w:hAnsi="Calibri" w:cs="Calibri"/>
        </w:rPr>
        <w:t>The lack of e</w:t>
      </w:r>
      <w:r w:rsidR="00E728AA" w:rsidRPr="0044625D">
        <w:rPr>
          <w:rFonts w:ascii="Calibri" w:hAnsi="Calibri" w:cs="Calibri"/>
        </w:rPr>
        <w:t xml:space="preserve">conomic access to </w:t>
      </w:r>
      <w:r w:rsidRPr="0044625D">
        <w:rPr>
          <w:rFonts w:ascii="Calibri" w:hAnsi="Calibri" w:cs="Calibri"/>
        </w:rPr>
        <w:t xml:space="preserve">healthy </w:t>
      </w:r>
      <w:r w:rsidR="00E728AA" w:rsidRPr="0044625D">
        <w:rPr>
          <w:rFonts w:ascii="Calibri" w:hAnsi="Calibri" w:cs="Calibri"/>
        </w:rPr>
        <w:t xml:space="preserve">diets </w:t>
      </w:r>
      <w:r w:rsidR="00163805" w:rsidRPr="0044625D">
        <w:rPr>
          <w:rFonts w:ascii="Calibri" w:hAnsi="Calibri" w:cs="Calibri"/>
        </w:rPr>
        <w:t xml:space="preserve">also </w:t>
      </w:r>
      <w:r w:rsidR="00E728AA" w:rsidRPr="0044625D">
        <w:rPr>
          <w:rFonts w:ascii="Calibri" w:hAnsi="Calibri" w:cs="Calibri"/>
        </w:rPr>
        <w:t xml:space="preserve">remains a critical issue, affecting over one-third of the global population. </w:t>
      </w:r>
      <w:r w:rsidR="00881C20" w:rsidRPr="0044625D">
        <w:rPr>
          <w:rFonts w:ascii="Calibri" w:hAnsi="Calibri" w:cs="Calibri"/>
        </w:rPr>
        <w:t>With new food price data and methodological improvements</w:t>
      </w:r>
      <w:r w:rsidR="006554AA" w:rsidRPr="0044625D">
        <w:rPr>
          <w:rFonts w:ascii="Calibri" w:hAnsi="Calibri" w:cs="Calibri"/>
        </w:rPr>
        <w:t>, t</w:t>
      </w:r>
      <w:r w:rsidR="00A932AA" w:rsidRPr="0044625D">
        <w:rPr>
          <w:rFonts w:ascii="Calibri" w:hAnsi="Calibri" w:cs="Calibri"/>
        </w:rPr>
        <w:t xml:space="preserve">he publication </w:t>
      </w:r>
      <w:r w:rsidR="00E728AA" w:rsidRPr="0044625D">
        <w:rPr>
          <w:rFonts w:ascii="Calibri" w:hAnsi="Calibri" w:cs="Calibri"/>
        </w:rPr>
        <w:t>r</w:t>
      </w:r>
      <w:r w:rsidR="00EC099F" w:rsidRPr="0044625D">
        <w:rPr>
          <w:rFonts w:ascii="Calibri" w:hAnsi="Calibri" w:cs="Calibri"/>
        </w:rPr>
        <w:t>eveals</w:t>
      </w:r>
      <w:r w:rsidR="00A932AA" w:rsidRPr="0044625D">
        <w:rPr>
          <w:rFonts w:ascii="Calibri" w:hAnsi="Calibri" w:cs="Calibri"/>
        </w:rPr>
        <w:t xml:space="preserve"> </w:t>
      </w:r>
      <w:r w:rsidR="00E728AA" w:rsidRPr="0044625D">
        <w:rPr>
          <w:rFonts w:ascii="Calibri" w:hAnsi="Calibri" w:cs="Calibri"/>
        </w:rPr>
        <w:t xml:space="preserve">that </w:t>
      </w:r>
      <w:r w:rsidR="00A932AA" w:rsidRPr="0044625D">
        <w:rPr>
          <w:rFonts w:ascii="Calibri" w:hAnsi="Calibri" w:cs="Calibri"/>
        </w:rPr>
        <w:t xml:space="preserve">over 2.8 billion people </w:t>
      </w:r>
      <w:r w:rsidR="00E728AA" w:rsidRPr="0044625D">
        <w:rPr>
          <w:rFonts w:ascii="Calibri" w:hAnsi="Calibri" w:cs="Calibri"/>
        </w:rPr>
        <w:t xml:space="preserve">were unable to afford a </w:t>
      </w:r>
      <w:r w:rsidR="00FC2577" w:rsidRPr="0044625D">
        <w:rPr>
          <w:rFonts w:ascii="Calibri" w:hAnsi="Calibri" w:cs="Calibri"/>
        </w:rPr>
        <w:t>healthy</w:t>
      </w:r>
      <w:r w:rsidR="00E728AA" w:rsidRPr="0044625D">
        <w:rPr>
          <w:rFonts w:ascii="Calibri" w:hAnsi="Calibri" w:cs="Calibri"/>
        </w:rPr>
        <w:t xml:space="preserve"> diet</w:t>
      </w:r>
      <w:r w:rsidR="0BB521CC" w:rsidRPr="0044625D">
        <w:rPr>
          <w:rFonts w:ascii="Calibri" w:hAnsi="Calibri" w:cs="Calibri"/>
        </w:rPr>
        <w:t xml:space="preserve"> in 2022</w:t>
      </w:r>
      <w:r w:rsidR="00A932AA" w:rsidRPr="0044625D">
        <w:rPr>
          <w:rFonts w:ascii="Calibri" w:hAnsi="Calibri" w:cs="Calibri"/>
        </w:rPr>
        <w:t>. This disparity is most pronounced in low-income countries, where 71.5 percent of the population cannot afford a healthy diet, compared to 6.3 percent in high-income countries.</w:t>
      </w:r>
      <w:r w:rsidR="7C6A3F1E" w:rsidRPr="0044625D">
        <w:rPr>
          <w:rFonts w:ascii="Calibri" w:hAnsi="Calibri" w:cs="Calibri"/>
        </w:rPr>
        <w:t xml:space="preserve"> </w:t>
      </w:r>
      <w:r w:rsidR="00BE17C6" w:rsidRPr="0044625D">
        <w:rPr>
          <w:rFonts w:ascii="Calibri" w:hAnsi="Calibri" w:cs="Calibri"/>
        </w:rPr>
        <w:t xml:space="preserve">Notably, </w:t>
      </w:r>
      <w:r w:rsidR="00BE17C6" w:rsidRPr="0044625D">
        <w:rPr>
          <w:rFonts w:ascii="Calibri" w:eastAsia="Calibri" w:hAnsi="Calibri" w:cs="Calibri"/>
        </w:rPr>
        <w:t>t</w:t>
      </w:r>
      <w:r w:rsidR="7C6A3F1E" w:rsidRPr="0044625D">
        <w:rPr>
          <w:rFonts w:ascii="Calibri" w:eastAsia="Calibri" w:hAnsi="Calibri" w:cs="Calibri"/>
        </w:rPr>
        <w:t xml:space="preserve">he </w:t>
      </w:r>
      <w:r w:rsidR="00BE17C6" w:rsidRPr="0044625D">
        <w:rPr>
          <w:rFonts w:ascii="Calibri" w:eastAsia="Calibri" w:hAnsi="Calibri" w:cs="Calibri"/>
        </w:rPr>
        <w:t xml:space="preserve">number </w:t>
      </w:r>
      <w:r w:rsidR="7C6A3F1E" w:rsidRPr="0044625D">
        <w:rPr>
          <w:rFonts w:ascii="Calibri" w:eastAsia="Calibri" w:hAnsi="Calibri" w:cs="Calibri"/>
        </w:rPr>
        <w:t>dropped below pre-pandemic levels in Asia and in Northern America and Europe, while it increased substantially in Africa.</w:t>
      </w:r>
    </w:p>
    <w:p w14:paraId="13C14E99" w14:textId="3475973C" w:rsidR="00FC078E" w:rsidRPr="0044625D" w:rsidRDefault="00052B8D" w:rsidP="00FC078E">
      <w:pPr>
        <w:rPr>
          <w:rFonts w:ascii="Calibri" w:hAnsi="Calibri" w:cs="Calibri"/>
        </w:rPr>
      </w:pPr>
      <w:r w:rsidRPr="0044625D">
        <w:rPr>
          <w:rFonts w:ascii="Calibri" w:hAnsi="Calibri" w:cs="Calibri"/>
        </w:rPr>
        <w:t xml:space="preserve">While progress has been made in increasing exclusive breastfeeding rates among infants to 48%, </w:t>
      </w:r>
      <w:r w:rsidR="00A75673" w:rsidRPr="0044625D">
        <w:rPr>
          <w:rFonts w:ascii="Calibri" w:hAnsi="Calibri" w:cs="Calibri"/>
        </w:rPr>
        <w:t xml:space="preserve">achieving </w:t>
      </w:r>
      <w:r w:rsidRPr="0044625D">
        <w:rPr>
          <w:rFonts w:ascii="Calibri" w:hAnsi="Calibri" w:cs="Calibri"/>
        </w:rPr>
        <w:t xml:space="preserve">global nutrition targets </w:t>
      </w:r>
      <w:r w:rsidR="00A75673" w:rsidRPr="0044625D">
        <w:rPr>
          <w:rFonts w:ascii="Calibri" w:hAnsi="Calibri" w:cs="Calibri"/>
        </w:rPr>
        <w:t>will be a challenge</w:t>
      </w:r>
      <w:r w:rsidR="00BD20D3" w:rsidRPr="0044625D">
        <w:rPr>
          <w:rFonts w:ascii="Calibri" w:hAnsi="Calibri" w:cs="Calibri"/>
        </w:rPr>
        <w:t>.</w:t>
      </w:r>
      <w:r w:rsidR="00CE7708" w:rsidRPr="0044625D">
        <w:rPr>
          <w:rFonts w:ascii="Calibri" w:hAnsi="Calibri" w:cs="Calibri"/>
        </w:rPr>
        <w:t xml:space="preserve"> L</w:t>
      </w:r>
      <w:r w:rsidRPr="0044625D">
        <w:rPr>
          <w:rFonts w:ascii="Calibri" w:hAnsi="Calibri" w:cs="Calibri"/>
        </w:rPr>
        <w:t xml:space="preserve">ow birthweight prevalence has stagnated around 15%, and stunting among children under five, while declining to 22.3%, still </w:t>
      </w:r>
      <w:r w:rsidR="300E6982" w:rsidRPr="0044625D">
        <w:rPr>
          <w:rFonts w:ascii="Calibri" w:hAnsi="Calibri" w:cs="Calibri"/>
        </w:rPr>
        <w:t>falls short of achieving targets</w:t>
      </w:r>
      <w:r w:rsidRPr="0044625D">
        <w:rPr>
          <w:rFonts w:ascii="Calibri" w:hAnsi="Calibri" w:cs="Calibri"/>
        </w:rPr>
        <w:t>. Additionally, the prevalence of wasting among children has not seen significant improvement</w:t>
      </w:r>
      <w:r w:rsidR="00726931" w:rsidRPr="0044625D">
        <w:rPr>
          <w:rFonts w:ascii="Calibri" w:hAnsi="Calibri" w:cs="Calibri"/>
        </w:rPr>
        <w:t xml:space="preserve"> while</w:t>
      </w:r>
      <w:r w:rsidR="00FC078E" w:rsidRPr="0044625D">
        <w:rPr>
          <w:rFonts w:ascii="Calibri" w:hAnsi="Calibri" w:cs="Calibri"/>
        </w:rPr>
        <w:t xml:space="preserve"> </w:t>
      </w:r>
      <w:proofErr w:type="spellStart"/>
      <w:r w:rsidR="00FC078E" w:rsidRPr="0044625D">
        <w:rPr>
          <w:rFonts w:ascii="Calibri" w:hAnsi="Calibri" w:cs="Calibri"/>
        </w:rPr>
        <w:t>anaemia</w:t>
      </w:r>
      <w:proofErr w:type="spellEnd"/>
      <w:r w:rsidR="00FC078E" w:rsidRPr="0044625D">
        <w:rPr>
          <w:rFonts w:ascii="Calibri" w:hAnsi="Calibri" w:cs="Calibri"/>
        </w:rPr>
        <w:t xml:space="preserve"> in women aged 15 to 49 years has increased.</w:t>
      </w:r>
    </w:p>
    <w:p w14:paraId="48963925" w14:textId="2988BE6F" w:rsidR="00F97B05" w:rsidRPr="0044625D" w:rsidRDefault="00793D1D" w:rsidP="00A932AA">
      <w:pPr>
        <w:rPr>
          <w:rFonts w:ascii="Calibri" w:hAnsi="Calibri" w:cs="Calibri"/>
        </w:rPr>
      </w:pPr>
      <w:r w:rsidRPr="0044625D">
        <w:rPr>
          <w:rFonts w:ascii="Calibri" w:hAnsi="Calibri" w:cs="Calibri"/>
        </w:rPr>
        <w:t xml:space="preserve">Similarly, new estimates of adult obesity show a steady increase over the last decade, from 12.1 percent (2012) to 15.8 percent (2022). </w:t>
      </w:r>
      <w:r w:rsidR="008F473A" w:rsidRPr="0044625D">
        <w:rPr>
          <w:rFonts w:ascii="Calibri" w:hAnsi="Calibri" w:cs="Calibri"/>
        </w:rPr>
        <w:t xml:space="preserve">Projections indicate that by 2030, the world will have more than 1.2 billion obese adults. </w:t>
      </w:r>
      <w:r w:rsidRPr="0044625D">
        <w:rPr>
          <w:rFonts w:ascii="Calibri" w:hAnsi="Calibri" w:cs="Calibri"/>
        </w:rPr>
        <w:t xml:space="preserve">The double burden of malnutrition – the co-existence of undernutrition together with overweight and obesity – has </w:t>
      </w:r>
      <w:r w:rsidR="00540502" w:rsidRPr="0044625D">
        <w:rPr>
          <w:rFonts w:ascii="Calibri" w:hAnsi="Calibri" w:cs="Calibri"/>
        </w:rPr>
        <w:t xml:space="preserve">also </w:t>
      </w:r>
      <w:r w:rsidRPr="0044625D">
        <w:rPr>
          <w:rFonts w:ascii="Calibri" w:hAnsi="Calibri" w:cs="Calibri"/>
        </w:rPr>
        <w:t>surged globally across all age groups. Thinness and underweight have declined in the last two decades, while obesity has risen sharply.</w:t>
      </w:r>
    </w:p>
    <w:p w14:paraId="1D91F371" w14:textId="5DBD9964" w:rsidR="00F11B2A" w:rsidRPr="0044625D" w:rsidRDefault="00A932AA" w:rsidP="00030AE1">
      <w:pPr>
        <w:rPr>
          <w:rFonts w:ascii="Calibri" w:hAnsi="Calibri" w:cs="Calibri"/>
        </w:rPr>
      </w:pPr>
      <w:r w:rsidRPr="0044625D">
        <w:rPr>
          <w:rFonts w:ascii="Calibri" w:hAnsi="Calibri" w:cs="Calibri"/>
        </w:rPr>
        <w:t xml:space="preserve">These trends underscore the complex challenges of malnutrition </w:t>
      </w:r>
      <w:r w:rsidR="11CDF5A2" w:rsidRPr="0044625D">
        <w:rPr>
          <w:rFonts w:ascii="Calibri" w:hAnsi="Calibri" w:cs="Calibri"/>
        </w:rPr>
        <w:t xml:space="preserve">in all its forms </w:t>
      </w:r>
      <w:r w:rsidRPr="0044625D">
        <w:rPr>
          <w:rFonts w:ascii="Calibri" w:hAnsi="Calibri" w:cs="Calibri"/>
        </w:rPr>
        <w:t xml:space="preserve">and the urgent need for </w:t>
      </w:r>
      <w:r w:rsidR="00BD20D3" w:rsidRPr="0044625D">
        <w:rPr>
          <w:rFonts w:ascii="Calibri" w:hAnsi="Calibri" w:cs="Calibri"/>
        </w:rPr>
        <w:t xml:space="preserve">targeted </w:t>
      </w:r>
      <w:r w:rsidR="004229E2" w:rsidRPr="0044625D">
        <w:rPr>
          <w:rFonts w:ascii="Calibri" w:hAnsi="Calibri" w:cs="Calibri"/>
        </w:rPr>
        <w:t xml:space="preserve">interventions as </w:t>
      </w:r>
      <w:r w:rsidR="00BD20D3" w:rsidRPr="0044625D">
        <w:rPr>
          <w:rFonts w:ascii="Calibri" w:hAnsi="Calibri" w:cs="Calibri"/>
        </w:rPr>
        <w:t>the</w:t>
      </w:r>
      <w:r w:rsidR="65B5862B" w:rsidRPr="0044625D">
        <w:rPr>
          <w:rFonts w:ascii="Calibri" w:hAnsi="Calibri" w:cs="Calibri"/>
        </w:rPr>
        <w:t xml:space="preserve"> world is not on track to reach any of the </w:t>
      </w:r>
      <w:hyperlink r:id="rId11">
        <w:r w:rsidR="65B5862B" w:rsidRPr="0044625D">
          <w:rPr>
            <w:rStyle w:val="Hyperlink"/>
            <w:rFonts w:ascii="Calibri" w:hAnsi="Calibri" w:cs="Calibri"/>
          </w:rPr>
          <w:t>seven global nutrition targets by 2030</w:t>
        </w:r>
      </w:hyperlink>
      <w:r w:rsidR="65B5862B" w:rsidRPr="0044625D">
        <w:rPr>
          <w:rFonts w:ascii="Calibri" w:hAnsi="Calibri" w:cs="Calibri"/>
        </w:rPr>
        <w:t>,</w:t>
      </w:r>
      <w:r w:rsidR="00617E4E" w:rsidRPr="0044625D">
        <w:rPr>
          <w:rFonts w:ascii="Calibri" w:hAnsi="Calibri" w:cs="Calibri"/>
        </w:rPr>
        <w:t xml:space="preserve"> the five agencies indicate</w:t>
      </w:r>
      <w:r w:rsidR="0046453D" w:rsidRPr="0044625D">
        <w:rPr>
          <w:rFonts w:ascii="Calibri" w:hAnsi="Calibri" w:cs="Calibri"/>
        </w:rPr>
        <w:t>.</w:t>
      </w:r>
    </w:p>
    <w:p w14:paraId="54A2A564" w14:textId="560CD415" w:rsidR="00030AE1" w:rsidRPr="0044625D" w:rsidRDefault="004438C5" w:rsidP="00030AE1">
      <w:pPr>
        <w:rPr>
          <w:rFonts w:ascii="Calibri" w:hAnsi="Calibri" w:cs="Calibri"/>
        </w:rPr>
      </w:pPr>
      <w:r w:rsidRPr="0044625D">
        <w:rPr>
          <w:rFonts w:ascii="Calibri" w:hAnsi="Calibri" w:cs="Calibri"/>
        </w:rPr>
        <w:t>Food</w:t>
      </w:r>
      <w:r w:rsidR="00030AE1" w:rsidRPr="0044625D">
        <w:rPr>
          <w:rFonts w:ascii="Calibri" w:hAnsi="Calibri" w:cs="Calibri"/>
        </w:rPr>
        <w:t xml:space="preserve"> insecurity and malnutrition are worsening due to a combination of factors, including persisting food price inflation that continues to erode economic gains for many people in many countries. Major drivers like conflict, climate change, and economic downturns are becoming more frequent and severe. These issues, along with underlying factors such as unaffordable healthy diets</w:t>
      </w:r>
      <w:r w:rsidR="332E2239" w:rsidRPr="0044625D">
        <w:rPr>
          <w:rFonts w:ascii="Calibri" w:hAnsi="Calibri" w:cs="Calibri"/>
        </w:rPr>
        <w:t>, unhealthy food environments</w:t>
      </w:r>
      <w:r w:rsidR="00030AE1" w:rsidRPr="0044625D">
        <w:rPr>
          <w:rFonts w:ascii="Calibri" w:hAnsi="Calibri" w:cs="Calibri"/>
        </w:rPr>
        <w:t xml:space="preserve"> and</w:t>
      </w:r>
      <w:r w:rsidR="00442A10" w:rsidRPr="0044625D">
        <w:rPr>
          <w:rFonts w:ascii="Calibri" w:hAnsi="Calibri" w:cs="Calibri"/>
        </w:rPr>
        <w:t xml:space="preserve"> persistent</w:t>
      </w:r>
      <w:r w:rsidR="00030AE1" w:rsidRPr="0044625D">
        <w:rPr>
          <w:rFonts w:ascii="Calibri" w:hAnsi="Calibri" w:cs="Calibri"/>
        </w:rPr>
        <w:t xml:space="preserve"> inequality, are now </w:t>
      </w:r>
      <w:r w:rsidR="267FFEE8" w:rsidRPr="0044625D">
        <w:rPr>
          <w:rFonts w:ascii="Calibri" w:hAnsi="Calibri" w:cs="Calibri"/>
        </w:rPr>
        <w:t xml:space="preserve">coinciding </w:t>
      </w:r>
      <w:r w:rsidR="00030AE1" w:rsidRPr="0044625D">
        <w:rPr>
          <w:rFonts w:ascii="Calibri" w:hAnsi="Calibri" w:cs="Calibri"/>
        </w:rPr>
        <w:t>simultaneous</w:t>
      </w:r>
      <w:r w:rsidR="00081452" w:rsidRPr="0044625D">
        <w:rPr>
          <w:rFonts w:ascii="Calibri" w:hAnsi="Calibri" w:cs="Calibri"/>
        </w:rPr>
        <w:t>ly</w:t>
      </w:r>
      <w:r w:rsidR="00397247" w:rsidRPr="0044625D">
        <w:rPr>
          <w:rFonts w:ascii="Calibri" w:hAnsi="Calibri" w:cs="Calibri"/>
        </w:rPr>
        <w:t>, amplifying their individual effects</w:t>
      </w:r>
      <w:r w:rsidRPr="0044625D">
        <w:rPr>
          <w:rFonts w:ascii="Calibri" w:hAnsi="Calibri" w:cs="Calibri"/>
        </w:rPr>
        <w:t>.</w:t>
      </w:r>
    </w:p>
    <w:p w14:paraId="0DB347AF" w14:textId="34766FCF" w:rsidR="00F21B41" w:rsidRPr="0044625D" w:rsidRDefault="00F21B41" w:rsidP="00A932AA">
      <w:pPr>
        <w:rPr>
          <w:rFonts w:ascii="Calibri" w:hAnsi="Calibri" w:cs="Calibri"/>
          <w:b/>
          <w:bCs/>
        </w:rPr>
      </w:pPr>
      <w:r w:rsidRPr="0044625D">
        <w:rPr>
          <w:rFonts w:ascii="Calibri" w:hAnsi="Calibri" w:cs="Calibri"/>
          <w:b/>
          <w:bCs/>
        </w:rPr>
        <w:t xml:space="preserve">Financing </w:t>
      </w:r>
      <w:r w:rsidR="00370315" w:rsidRPr="0044625D">
        <w:rPr>
          <w:rFonts w:ascii="Calibri" w:hAnsi="Calibri" w:cs="Calibri"/>
          <w:b/>
          <w:bCs/>
        </w:rPr>
        <w:t>to end hunger</w:t>
      </w:r>
    </w:p>
    <w:p w14:paraId="0A114ED3" w14:textId="4530FE5F" w:rsidR="00030AE1" w:rsidRPr="0044625D" w:rsidRDefault="00A932AA" w:rsidP="00030AE1">
      <w:pPr>
        <w:rPr>
          <w:rFonts w:ascii="Calibri" w:hAnsi="Calibri" w:cs="Calibri"/>
        </w:rPr>
      </w:pPr>
      <w:r w:rsidRPr="0044625D">
        <w:rPr>
          <w:rFonts w:ascii="Calibri" w:hAnsi="Calibri" w:cs="Calibri"/>
        </w:rPr>
        <w:t>Th</w:t>
      </w:r>
      <w:r w:rsidR="00AE6C04" w:rsidRPr="0044625D">
        <w:rPr>
          <w:rFonts w:ascii="Calibri" w:hAnsi="Calibri" w:cs="Calibri"/>
        </w:rPr>
        <w:t>is year’s</w:t>
      </w:r>
      <w:r w:rsidRPr="0044625D">
        <w:rPr>
          <w:rFonts w:ascii="Calibri" w:hAnsi="Calibri" w:cs="Calibri"/>
        </w:rPr>
        <w:t xml:space="preserve"> report</w:t>
      </w:r>
      <w:r w:rsidR="00AE6C04" w:rsidRPr="0044625D">
        <w:rPr>
          <w:rFonts w:ascii="Calibri" w:hAnsi="Calibri" w:cs="Calibri"/>
        </w:rPr>
        <w:t xml:space="preserve">’s theme </w:t>
      </w:r>
      <w:r w:rsidR="00E83243" w:rsidRPr="0044625D">
        <w:rPr>
          <w:rFonts w:ascii="Calibri" w:hAnsi="Calibri" w:cs="Calibri"/>
        </w:rPr>
        <w:t>“Financing to end hunger, food insecurity and all forms of malnutrition</w:t>
      </w:r>
      <w:r w:rsidR="00AE6C04" w:rsidRPr="0044625D">
        <w:rPr>
          <w:rFonts w:ascii="Calibri" w:hAnsi="Calibri" w:cs="Calibri"/>
        </w:rPr>
        <w:t>’’</w:t>
      </w:r>
      <w:r w:rsidR="00E83243" w:rsidRPr="0044625D">
        <w:rPr>
          <w:rFonts w:ascii="Calibri" w:hAnsi="Calibri" w:cs="Calibri"/>
        </w:rPr>
        <w:t xml:space="preserve">, </w:t>
      </w:r>
      <w:r w:rsidRPr="0044625D">
        <w:rPr>
          <w:rFonts w:ascii="Calibri" w:hAnsi="Calibri" w:cs="Calibri"/>
        </w:rPr>
        <w:t>emphasizes that achieving SDG 2</w:t>
      </w:r>
      <w:r w:rsidR="005E0589" w:rsidRPr="0044625D">
        <w:rPr>
          <w:rFonts w:ascii="Calibri" w:hAnsi="Calibri" w:cs="Calibri"/>
        </w:rPr>
        <w:t xml:space="preserve"> Zero Hunger</w:t>
      </w:r>
      <w:r w:rsidRPr="0044625D">
        <w:rPr>
          <w:rFonts w:ascii="Calibri" w:hAnsi="Calibri" w:cs="Calibri"/>
        </w:rPr>
        <w:t xml:space="preserve"> requires a multi-faceted approach, including </w:t>
      </w:r>
      <w:r w:rsidR="001052A3" w:rsidRPr="0044625D">
        <w:rPr>
          <w:rFonts w:ascii="Calibri" w:hAnsi="Calibri" w:cs="Calibri"/>
        </w:rPr>
        <w:t xml:space="preserve">transforming and </w:t>
      </w:r>
      <w:r w:rsidRPr="0044625D">
        <w:rPr>
          <w:rFonts w:ascii="Calibri" w:hAnsi="Calibri" w:cs="Calibri"/>
        </w:rPr>
        <w:t xml:space="preserve">strengthening agrifood systems, addressing inequalities, and ensuring affordable and accessible healthy diets for all. </w:t>
      </w:r>
      <w:r w:rsidR="1F6C51F2" w:rsidRPr="0044625D">
        <w:rPr>
          <w:rFonts w:ascii="Calibri" w:hAnsi="Calibri" w:cs="Calibri"/>
        </w:rPr>
        <w:t>I</w:t>
      </w:r>
      <w:r w:rsidRPr="0044625D">
        <w:rPr>
          <w:rFonts w:ascii="Calibri" w:hAnsi="Calibri" w:cs="Calibri"/>
        </w:rPr>
        <w:t>t calls for increased and more cost-effective financing, with a clear and standardized definition of financing for food security and nutrition.</w:t>
      </w:r>
    </w:p>
    <w:p w14:paraId="4D5A1B88" w14:textId="7E043692" w:rsidR="00DC5A59" w:rsidRPr="0044625D" w:rsidRDefault="00030AE1" w:rsidP="00A932AA">
      <w:pPr>
        <w:rPr>
          <w:rFonts w:ascii="Calibri" w:hAnsi="Calibri" w:cs="Calibri"/>
        </w:rPr>
      </w:pPr>
      <w:r w:rsidRPr="0044625D">
        <w:rPr>
          <w:rFonts w:ascii="Calibri" w:hAnsi="Calibri" w:cs="Calibri"/>
        </w:rPr>
        <w:t xml:space="preserve">The heads of the five UN agencies, FAO Director-General QU Dongyu; IFAD President Alvaro Lario; UNICEF Executive Director Catherine Russell; WFP’s Executive Director Cindy McCain; and WHO Director-General Dr. Tedros Adhanom Ghebreyesus write in the report’s Foreword: </w:t>
      </w:r>
      <w:r w:rsidR="00315FD8" w:rsidRPr="0044625D">
        <w:rPr>
          <w:rFonts w:ascii="Calibri" w:hAnsi="Calibri" w:cs="Calibri"/>
        </w:rPr>
        <w:t>“</w:t>
      </w:r>
      <w:r w:rsidR="00A952FB" w:rsidRPr="0044625D">
        <w:rPr>
          <w:rFonts w:ascii="Calibri" w:hAnsi="Calibri" w:cs="Calibri"/>
        </w:rPr>
        <w:t xml:space="preserve">Estimating the gap in financing for food security and nutrition and mobilizing innovative ways of financing to bridge it must be among our top priorities. Policies, legislation and interventions to end hunger and ensure all people </w:t>
      </w:r>
      <w:r w:rsidR="00A952FB" w:rsidRPr="0044625D">
        <w:rPr>
          <w:rFonts w:ascii="Calibri" w:hAnsi="Calibri" w:cs="Calibri"/>
        </w:rPr>
        <w:lastRenderedPageBreak/>
        <w:t>have access to safe, nutritious and sufficient food (SDG Target 2.1), and to end all forms of malnutrition (SDG Target 2.2) need significant resource mobilization. They are not only an investment in the future, but our obligation. We strive to guarantee the right to adequate food and nutrition of current and future generations</w:t>
      </w:r>
      <w:r w:rsidR="00370315" w:rsidRPr="0044625D">
        <w:rPr>
          <w:rFonts w:ascii="Calibri" w:hAnsi="Calibri" w:cs="Calibri"/>
        </w:rPr>
        <w:t>”.</w:t>
      </w:r>
    </w:p>
    <w:p w14:paraId="5538F3A2" w14:textId="02AE8577" w:rsidR="004229E2" w:rsidRPr="0044625D" w:rsidRDefault="004924BE" w:rsidP="00A932AA">
      <w:pPr>
        <w:rPr>
          <w:rFonts w:ascii="Calibri" w:hAnsi="Calibri" w:cs="Calibri"/>
        </w:rPr>
      </w:pPr>
      <w:r w:rsidRPr="0044625D">
        <w:rPr>
          <w:rFonts w:ascii="Calibri" w:hAnsi="Calibri" w:cs="Calibri"/>
        </w:rPr>
        <w:t xml:space="preserve">As highlighted during a </w:t>
      </w:r>
      <w:r w:rsidR="51FAE8F7" w:rsidRPr="0044625D">
        <w:rPr>
          <w:rFonts w:ascii="Calibri" w:hAnsi="Calibri" w:cs="Calibri"/>
        </w:rPr>
        <w:t>recent event in the High-Level Political Forum at UN headquarters</w:t>
      </w:r>
      <w:r w:rsidR="004C42E7" w:rsidRPr="0044625D">
        <w:rPr>
          <w:rFonts w:ascii="Calibri" w:hAnsi="Calibri" w:cs="Calibri"/>
        </w:rPr>
        <w:t xml:space="preserve"> in New York</w:t>
      </w:r>
      <w:r w:rsidRPr="0044625D">
        <w:rPr>
          <w:rFonts w:ascii="Calibri" w:hAnsi="Calibri" w:cs="Calibri"/>
        </w:rPr>
        <w:t>, the report underscores that the</w:t>
      </w:r>
      <w:r w:rsidR="002E0454" w:rsidRPr="0044625D">
        <w:rPr>
          <w:rFonts w:ascii="Calibri" w:hAnsi="Calibri" w:cs="Calibri"/>
        </w:rPr>
        <w:t xml:space="preserve"> looming financing gap</w:t>
      </w:r>
      <w:r w:rsidRPr="0044625D">
        <w:rPr>
          <w:rFonts w:ascii="Calibri" w:hAnsi="Calibri" w:cs="Calibri"/>
        </w:rPr>
        <w:t xml:space="preserve"> </w:t>
      </w:r>
      <w:r w:rsidR="002E0454" w:rsidRPr="0044625D">
        <w:rPr>
          <w:rFonts w:ascii="Calibri" w:hAnsi="Calibri" w:cs="Calibri"/>
        </w:rPr>
        <w:t>necessitates innovative, equitable solutions, particularly for countries facing high levels of hunger and malnutrition exacerbated by climate impacts.</w:t>
      </w:r>
    </w:p>
    <w:p w14:paraId="6C6019F2" w14:textId="5FC94230" w:rsidR="008B2535" w:rsidRPr="0044625D" w:rsidRDefault="004229E2" w:rsidP="00A932AA">
      <w:pPr>
        <w:rPr>
          <w:rFonts w:ascii="Calibri" w:hAnsi="Calibri" w:cs="Calibri"/>
        </w:rPr>
      </w:pPr>
      <w:r w:rsidRPr="0044625D">
        <w:rPr>
          <w:rFonts w:ascii="Calibri" w:hAnsi="Calibri" w:cs="Calibri"/>
        </w:rPr>
        <w:t xml:space="preserve">Countries most in need of increased financing face significant challenges in access. Among the 119 low- and middle-income countries analyzed, approximately 63 percent have limited or moderate access to financing. </w:t>
      </w:r>
      <w:bookmarkStart w:id="0" w:name="_Int_VpsJiGpB"/>
      <w:r w:rsidRPr="0044625D">
        <w:rPr>
          <w:rFonts w:ascii="Calibri" w:hAnsi="Calibri" w:cs="Calibri"/>
        </w:rPr>
        <w:t xml:space="preserve">Additionally, </w:t>
      </w:r>
      <w:proofErr w:type="gramStart"/>
      <w:r w:rsidRPr="0044625D">
        <w:rPr>
          <w:rFonts w:ascii="Calibri" w:hAnsi="Calibri" w:cs="Calibri"/>
        </w:rPr>
        <w:t>the majority of</w:t>
      </w:r>
      <w:proofErr w:type="gramEnd"/>
      <w:r w:rsidRPr="0044625D">
        <w:rPr>
          <w:rFonts w:ascii="Calibri" w:hAnsi="Calibri" w:cs="Calibri"/>
        </w:rPr>
        <w:t xml:space="preserve"> these countries (74 percent) are impacted by one or more major factors contributing to food insecurity and malnutrition.</w:t>
      </w:r>
      <w:bookmarkEnd w:id="0"/>
      <w:r w:rsidR="0066092E" w:rsidRPr="0044625D">
        <w:rPr>
          <w:rFonts w:ascii="Calibri" w:hAnsi="Calibri" w:cs="Calibri"/>
        </w:rPr>
        <w:t xml:space="preserve"> </w:t>
      </w:r>
      <w:r w:rsidR="002E0454" w:rsidRPr="0044625D">
        <w:rPr>
          <w:rFonts w:ascii="Calibri" w:hAnsi="Calibri" w:cs="Calibri"/>
        </w:rPr>
        <w:t>Coordinated efforts to harmonize data, increase risk tolerance, and enhance transparency are vital to bridge this gap and strengthen global food security and nutrition frameworks.</w:t>
      </w:r>
    </w:p>
    <w:p w14:paraId="07386D25" w14:textId="74BF4528" w:rsidR="00AA4767" w:rsidRPr="0044625D" w:rsidRDefault="00AA4767" w:rsidP="00AA4767">
      <w:pPr>
        <w:rPr>
          <w:rFonts w:ascii="Calibri" w:hAnsi="Calibri" w:cs="Calibri"/>
        </w:rPr>
      </w:pPr>
      <w:r w:rsidRPr="0044625D">
        <w:rPr>
          <w:rFonts w:ascii="Calibri" w:hAnsi="Calibri" w:cs="Calibri"/>
          <w:b/>
          <w:bCs/>
        </w:rPr>
        <w:t>What they said</w:t>
      </w:r>
    </w:p>
    <w:p w14:paraId="0FB4C3A0" w14:textId="2AA4A729" w:rsidR="00226626" w:rsidRPr="0044625D" w:rsidRDefault="00AA4767" w:rsidP="00AA4767">
      <w:pPr>
        <w:rPr>
          <w:rFonts w:ascii="Calibri" w:hAnsi="Calibri" w:cs="Calibri"/>
        </w:rPr>
      </w:pPr>
      <w:r w:rsidRPr="0044625D">
        <w:rPr>
          <w:rFonts w:ascii="Calibri" w:hAnsi="Calibri" w:cs="Calibri"/>
          <w:b/>
          <w:bCs/>
        </w:rPr>
        <w:t>FAO Director-General, QU Dongyu:</w:t>
      </w:r>
      <w:r w:rsidRPr="0044625D">
        <w:rPr>
          <w:rFonts w:ascii="Calibri" w:hAnsi="Calibri" w:cs="Calibri"/>
        </w:rPr>
        <w:t xml:space="preserve"> “</w:t>
      </w:r>
      <w:r w:rsidR="004E57B4" w:rsidRPr="0044625D">
        <w:rPr>
          <w:rFonts w:ascii="Calibri" w:hAnsi="Calibri" w:cs="Calibri"/>
        </w:rPr>
        <w:t xml:space="preserve">Transforming agrifood systems is more critical than ever as we face the urgency of achieving the SDGs within six short years. FAO remains committed to supporting countries in their efforts to eradicate hunger and ensure food security for all. </w:t>
      </w:r>
      <w:r w:rsidR="00B53504" w:rsidRPr="0044625D">
        <w:rPr>
          <w:rFonts w:ascii="Calibri" w:hAnsi="Calibri" w:cs="Calibri"/>
        </w:rPr>
        <w:t xml:space="preserve">We will work together with </w:t>
      </w:r>
      <w:r w:rsidR="002A71C2">
        <w:rPr>
          <w:rFonts w:ascii="Calibri" w:hAnsi="Calibri" w:cs="Calibri"/>
        </w:rPr>
        <w:t xml:space="preserve">all partners </w:t>
      </w:r>
      <w:r w:rsidR="00034B61">
        <w:rPr>
          <w:rFonts w:ascii="Calibri" w:hAnsi="Calibri" w:cs="Calibri"/>
        </w:rPr>
        <w:t xml:space="preserve">and with all approaches, including </w:t>
      </w:r>
      <w:r w:rsidR="00B53504" w:rsidRPr="0044625D">
        <w:rPr>
          <w:rFonts w:ascii="Calibri" w:hAnsi="Calibri" w:cs="Calibri"/>
        </w:rPr>
        <w:t xml:space="preserve">the </w:t>
      </w:r>
      <w:r w:rsidR="003C048E" w:rsidRPr="0044625D">
        <w:rPr>
          <w:rFonts w:ascii="Calibri" w:hAnsi="Calibri" w:cs="Calibri"/>
        </w:rPr>
        <w:t xml:space="preserve">G20 </w:t>
      </w:r>
      <w:r w:rsidR="00B53504" w:rsidRPr="0044625D">
        <w:rPr>
          <w:rFonts w:ascii="Calibri" w:hAnsi="Calibri" w:cs="Calibri"/>
        </w:rPr>
        <w:t>Global Alliance against Hunger and Poverty</w:t>
      </w:r>
      <w:r w:rsidR="00034B61">
        <w:rPr>
          <w:rFonts w:ascii="Calibri" w:hAnsi="Calibri" w:cs="Calibri"/>
        </w:rPr>
        <w:t>,</w:t>
      </w:r>
      <w:r w:rsidR="00B53504" w:rsidRPr="0044625D">
        <w:rPr>
          <w:rFonts w:ascii="Calibri" w:hAnsi="Calibri" w:cs="Calibri"/>
        </w:rPr>
        <w:t xml:space="preserve"> </w:t>
      </w:r>
      <w:r w:rsidR="00B53504" w:rsidRPr="0044625D">
        <w:rPr>
          <w:rStyle w:val="Hyperlink"/>
          <w:rFonts w:ascii="Calibri" w:hAnsi="Calibri" w:cs="Calibri"/>
          <w:color w:val="auto"/>
          <w:u w:val="none"/>
        </w:rPr>
        <w:t>to accelerate the needed change</w:t>
      </w:r>
      <w:r w:rsidR="004229E2" w:rsidRPr="0044625D">
        <w:rPr>
          <w:rStyle w:val="Hyperlink"/>
          <w:rFonts w:ascii="Calibri" w:hAnsi="Calibri" w:cs="Calibri"/>
          <w:color w:val="auto"/>
          <w:u w:val="none"/>
        </w:rPr>
        <w:t>.</w:t>
      </w:r>
      <w:r w:rsidR="003C048E" w:rsidRPr="0044625D">
        <w:rPr>
          <w:rStyle w:val="Hyperlink"/>
          <w:rFonts w:ascii="Calibri" w:hAnsi="Calibri" w:cs="Calibri"/>
          <w:color w:val="auto"/>
        </w:rPr>
        <w:t xml:space="preserve"> </w:t>
      </w:r>
      <w:r w:rsidR="004E57B4" w:rsidRPr="0044625D">
        <w:rPr>
          <w:rFonts w:ascii="Calibri" w:hAnsi="Calibri" w:cs="Calibri"/>
        </w:rPr>
        <w:t xml:space="preserve">Together, we must innovate and collaborate to build </w:t>
      </w:r>
      <w:r w:rsidR="00034B61">
        <w:rPr>
          <w:rFonts w:ascii="Calibri" w:hAnsi="Calibri" w:cs="Calibri"/>
        </w:rPr>
        <w:t>more</w:t>
      </w:r>
      <w:r w:rsidR="00DF7E4C">
        <w:rPr>
          <w:rFonts w:ascii="Calibri" w:hAnsi="Calibri" w:cs="Calibri"/>
        </w:rPr>
        <w:t xml:space="preserve"> efficient, inclusive, </w:t>
      </w:r>
      <w:r w:rsidR="004E57B4" w:rsidRPr="0044625D">
        <w:rPr>
          <w:rFonts w:ascii="Calibri" w:hAnsi="Calibri" w:cs="Calibri"/>
        </w:rPr>
        <w:t xml:space="preserve">resilient, </w:t>
      </w:r>
      <w:r w:rsidR="00DF7E4C">
        <w:rPr>
          <w:rFonts w:ascii="Calibri" w:hAnsi="Calibri" w:cs="Calibri"/>
        </w:rPr>
        <w:t xml:space="preserve">and </w:t>
      </w:r>
      <w:r w:rsidR="004E57B4" w:rsidRPr="0044625D">
        <w:rPr>
          <w:rFonts w:ascii="Calibri" w:hAnsi="Calibri" w:cs="Calibri"/>
        </w:rPr>
        <w:t xml:space="preserve">sustainable </w:t>
      </w:r>
      <w:r w:rsidR="00DF7E4C">
        <w:rPr>
          <w:rFonts w:ascii="Calibri" w:hAnsi="Calibri" w:cs="Calibri"/>
        </w:rPr>
        <w:t>agri</w:t>
      </w:r>
      <w:r w:rsidR="004E57B4" w:rsidRPr="0044625D">
        <w:rPr>
          <w:rFonts w:ascii="Calibri" w:hAnsi="Calibri" w:cs="Calibri"/>
        </w:rPr>
        <w:t>food systems that can</w:t>
      </w:r>
      <w:r w:rsidR="00DF7E4C">
        <w:rPr>
          <w:rFonts w:ascii="Calibri" w:hAnsi="Calibri" w:cs="Calibri"/>
        </w:rPr>
        <w:t xml:space="preserve"> better</w:t>
      </w:r>
      <w:r w:rsidR="004E57B4" w:rsidRPr="0044625D">
        <w:rPr>
          <w:rFonts w:ascii="Calibri" w:hAnsi="Calibri" w:cs="Calibri"/>
        </w:rPr>
        <w:t xml:space="preserve"> withstand future challenges </w:t>
      </w:r>
      <w:r w:rsidR="00DF7E4C">
        <w:rPr>
          <w:rFonts w:ascii="Calibri" w:hAnsi="Calibri" w:cs="Calibri"/>
        </w:rPr>
        <w:t>for a better world</w:t>
      </w:r>
      <w:r w:rsidR="004E57B4" w:rsidRPr="0044625D">
        <w:rPr>
          <w:rFonts w:ascii="Calibri" w:hAnsi="Calibri" w:cs="Calibri"/>
        </w:rPr>
        <w:t>."</w:t>
      </w:r>
    </w:p>
    <w:p w14:paraId="1AB37085" w14:textId="52ED729B" w:rsidR="00AA4767" w:rsidRPr="0044625D" w:rsidRDefault="00AA4767" w:rsidP="532B0444">
      <w:pPr>
        <w:spacing w:line="257" w:lineRule="auto"/>
        <w:rPr>
          <w:rFonts w:ascii="Calibri" w:hAnsi="Calibri" w:cs="Calibri"/>
        </w:rPr>
      </w:pPr>
      <w:r w:rsidRPr="0044625D">
        <w:rPr>
          <w:rFonts w:ascii="Calibri" w:hAnsi="Calibri" w:cs="Calibri"/>
          <w:b/>
          <w:bCs/>
        </w:rPr>
        <w:t>IFAD President, Alvaro Lario:</w:t>
      </w:r>
      <w:r w:rsidRPr="0044625D">
        <w:rPr>
          <w:rFonts w:ascii="Calibri" w:hAnsi="Calibri" w:cs="Calibri"/>
        </w:rPr>
        <w:t xml:space="preserve"> “</w:t>
      </w:r>
      <w:r w:rsidR="39788C3C" w:rsidRPr="0044625D">
        <w:rPr>
          <w:rFonts w:ascii="Calibri" w:eastAsia="Calibri" w:hAnsi="Calibri" w:cs="Calibri"/>
        </w:rPr>
        <w:t>The fastest route out of hunger and poverty is proven to be through investments in agriculture in rural areas. But the global and financial landscape has become far more complex since the Sustainable Development Goals were adopted in 2015. Ending hunger and malnutrition demands that we invest more - and more smartly.  We must bring new money into the system from the private sector and recapture the pandemic-era appetite for ambitious global financial reform that gets cheaper financing to the countries who need it most.’’</w:t>
      </w:r>
    </w:p>
    <w:p w14:paraId="37B2C753" w14:textId="09AD8F5D" w:rsidR="001A2DE7" w:rsidRDefault="00AA4767" w:rsidP="001A2DE7">
      <w:pPr>
        <w:rPr>
          <w:rFonts w:eastAsia="Times New Roman"/>
        </w:rPr>
      </w:pPr>
      <w:r w:rsidRPr="0044625D">
        <w:rPr>
          <w:rFonts w:ascii="Calibri" w:hAnsi="Calibri" w:cs="Calibri"/>
          <w:b/>
          <w:bCs/>
        </w:rPr>
        <w:t>UNICEF Executive Director, Catherine Russell:</w:t>
      </w:r>
      <w:r w:rsidRPr="0044625D">
        <w:rPr>
          <w:rFonts w:ascii="Calibri" w:hAnsi="Calibri" w:cs="Calibri"/>
        </w:rPr>
        <w:t xml:space="preserve"> </w:t>
      </w:r>
      <w:r w:rsidR="001A2DE7" w:rsidRPr="00C1324A">
        <w:rPr>
          <w:rFonts w:ascii="Calibri" w:eastAsia="Times New Roman" w:hAnsi="Calibri" w:cs="Calibri"/>
          <w:color w:val="212121"/>
        </w:rPr>
        <w:t>“Malnutrition affects a child’s survival, physical growth, and brain development. Global child stunting rates have dropped by one third, or 55 million, in the last two decades, showing that investments in maternal and child nutrition pay off. Yet globally, one in four children under the age of five suffers from undernutrition, which can lead to long-term damage. We must urgently step-up financing to end child malnutrition. The world can and must do it. It is not only a moral imperative but also a sound investment in the future.”</w:t>
      </w:r>
    </w:p>
    <w:p w14:paraId="783B1F66" w14:textId="43C02236" w:rsidR="00AA4767" w:rsidRPr="009340EE" w:rsidRDefault="00AA4767" w:rsidP="009340EE">
      <w:pPr>
        <w:rPr>
          <w:rFonts w:ascii="Calibri" w:hAnsi="Calibri" w:cs="Calibri"/>
          <w:color w:val="212121"/>
        </w:rPr>
      </w:pPr>
      <w:r w:rsidRPr="0044625D">
        <w:rPr>
          <w:rFonts w:ascii="Calibri" w:hAnsi="Calibri" w:cs="Calibri"/>
          <w:b/>
          <w:bCs/>
        </w:rPr>
        <w:t>WFP Executive Director, Cindy McCain</w:t>
      </w:r>
      <w:r w:rsidRPr="0044625D">
        <w:rPr>
          <w:rFonts w:ascii="Calibri" w:hAnsi="Calibri" w:cs="Calibri"/>
        </w:rPr>
        <w:t xml:space="preserve">: </w:t>
      </w:r>
      <w:r w:rsidR="00F13BAD" w:rsidRPr="0044625D">
        <w:rPr>
          <w:rFonts w:ascii="Calibri" w:hAnsi="Calibri" w:cs="Calibri"/>
          <w:color w:val="212121"/>
          <w:lang w:val="en-GB"/>
        </w:rPr>
        <w:t>“A future free from hunger is possible if we can rally the resources and the political will needed to invest in proven long-term solutions. I call on G20 leaders to follow Brazil’s example and prioritize ambitious global action on hunger and poverty,” said WFP Executive Director Cindy McCain. “We have the technologies and know-how to end food insecurity – but we urgently need the funds to invest in them at scale. WFP is ready to step up our collaboration with governments and partners to tackle the root causes of hunger, strengthen social safety nets and support sustainable development so every family can live in dignity.”</w:t>
      </w:r>
    </w:p>
    <w:p w14:paraId="562AFE95" w14:textId="68F428FB" w:rsidR="00AA4767" w:rsidRPr="0044625D" w:rsidRDefault="00AA4767" w:rsidP="00AA4767">
      <w:pPr>
        <w:rPr>
          <w:rFonts w:ascii="Calibri" w:hAnsi="Calibri" w:cs="Calibri"/>
        </w:rPr>
      </w:pPr>
      <w:r w:rsidRPr="0044625D">
        <w:rPr>
          <w:rFonts w:ascii="Calibri" w:hAnsi="Calibri" w:cs="Calibri"/>
          <w:b/>
          <w:bCs/>
        </w:rPr>
        <w:lastRenderedPageBreak/>
        <w:t>WHO Director-General, Dr. Tedros Adhanom Ghebreyesus:</w:t>
      </w:r>
      <w:r w:rsidRPr="0044625D">
        <w:rPr>
          <w:rFonts w:ascii="Calibri" w:hAnsi="Calibri" w:cs="Calibri"/>
        </w:rPr>
        <w:t xml:space="preserve"> </w:t>
      </w:r>
      <w:r w:rsidR="000315BB">
        <w:rPr>
          <w:rFonts w:ascii="Calibri" w:hAnsi="Calibri" w:cs="Calibri"/>
        </w:rPr>
        <w:t xml:space="preserve"> </w:t>
      </w:r>
      <w:r w:rsidR="000315BB" w:rsidRPr="000315BB">
        <w:rPr>
          <w:rFonts w:ascii="Calibri" w:hAnsi="Calibri" w:cs="Calibri"/>
        </w:rPr>
        <w:t>"The progress we have made on reducing stunting and improving exclusive breastfeeding shows that the challenges we face are not insurmountable. We must use those gains as motivation to alleviate the suffering that millions of people around the world endure every day from hunger, food insecurity, unhealthy diets and malnutrition. The substantial investment required in healthy, safe and sustainably produced food is far less than the costs to economies and societies if we do nothing.”</w:t>
      </w:r>
      <w:r w:rsidR="00767AB3">
        <w:rPr>
          <w:rFonts w:ascii="Calibri" w:hAnsi="Calibri" w:cs="Calibri"/>
        </w:rPr>
        <w:t xml:space="preserve"> </w:t>
      </w:r>
    </w:p>
    <w:p w14:paraId="40EE3165" w14:textId="203EDDC8" w:rsidR="00AA4767" w:rsidRPr="0044625D" w:rsidRDefault="00AA4767" w:rsidP="00AA4767">
      <w:pPr>
        <w:rPr>
          <w:rFonts w:ascii="Calibri" w:hAnsi="Calibri" w:cs="Calibri"/>
          <w:b/>
          <w:bCs/>
        </w:rPr>
      </w:pPr>
      <w:r w:rsidRPr="0044625D">
        <w:rPr>
          <w:rFonts w:ascii="Calibri" w:hAnsi="Calibri" w:cs="Calibri"/>
          <w:b/>
          <w:bCs/>
        </w:rPr>
        <w:t xml:space="preserve">Notes to the editor: the SOFI report </w:t>
      </w:r>
    </w:p>
    <w:p w14:paraId="0035B476" w14:textId="598032BD" w:rsidR="00AA4767" w:rsidRPr="0044625D" w:rsidRDefault="00AA4767" w:rsidP="00AA4767">
      <w:pPr>
        <w:rPr>
          <w:rFonts w:ascii="Calibri" w:hAnsi="Calibri" w:cs="Calibri"/>
        </w:rPr>
      </w:pPr>
      <w:r w:rsidRPr="0044625D">
        <w:rPr>
          <w:rFonts w:ascii="Calibri" w:hAnsi="Calibri" w:cs="Calibri"/>
        </w:rPr>
        <w:t xml:space="preserve">The State of Food Security and Nutrition in the World is an annual report jointly prepared by the Food and Agriculture Organization of the United Nations (FAO), the International Fund for Agricultural Development (IFAD), the United Nations Children’s Fund (UNICEF), the </w:t>
      </w:r>
      <w:r w:rsidR="762C7449" w:rsidRPr="0044625D">
        <w:rPr>
          <w:rFonts w:ascii="Calibri" w:hAnsi="Calibri" w:cs="Calibri"/>
        </w:rPr>
        <w:t xml:space="preserve">UN </w:t>
      </w:r>
      <w:r w:rsidRPr="0044625D">
        <w:rPr>
          <w:rFonts w:ascii="Calibri" w:hAnsi="Calibri" w:cs="Calibri"/>
        </w:rPr>
        <w:t xml:space="preserve">World Food </w:t>
      </w:r>
      <w:proofErr w:type="spellStart"/>
      <w:r w:rsidRPr="0044625D">
        <w:rPr>
          <w:rFonts w:ascii="Calibri" w:hAnsi="Calibri" w:cs="Calibri"/>
        </w:rPr>
        <w:t>Programme</w:t>
      </w:r>
      <w:proofErr w:type="spellEnd"/>
      <w:r w:rsidRPr="0044625D">
        <w:rPr>
          <w:rFonts w:ascii="Calibri" w:hAnsi="Calibri" w:cs="Calibri"/>
        </w:rPr>
        <w:t xml:space="preserve"> (WFP) and the World Health Organization (WHO).</w:t>
      </w:r>
    </w:p>
    <w:p w14:paraId="13A130F0" w14:textId="1A0A6DE2" w:rsidR="00AA4767" w:rsidRPr="0044625D" w:rsidRDefault="00AA4767" w:rsidP="00AA4767">
      <w:pPr>
        <w:rPr>
          <w:rFonts w:ascii="Calibri" w:hAnsi="Calibri" w:cs="Calibri"/>
        </w:rPr>
      </w:pPr>
      <w:r w:rsidRPr="0044625D">
        <w:rPr>
          <w:rFonts w:ascii="Calibri" w:hAnsi="Calibri" w:cs="Calibri"/>
        </w:rPr>
        <w:t xml:space="preserve">Since 1999, it </w:t>
      </w:r>
      <w:r w:rsidR="00AF3042" w:rsidRPr="0044625D">
        <w:rPr>
          <w:rFonts w:ascii="Calibri" w:hAnsi="Calibri" w:cs="Calibri"/>
        </w:rPr>
        <w:t>has monitored</w:t>
      </w:r>
      <w:r w:rsidRPr="0044625D">
        <w:rPr>
          <w:rFonts w:ascii="Calibri" w:hAnsi="Calibri" w:cs="Calibri"/>
        </w:rPr>
        <w:t xml:space="preserve"> and </w:t>
      </w:r>
      <w:proofErr w:type="spellStart"/>
      <w:r w:rsidR="00AF3042" w:rsidRPr="0044625D">
        <w:rPr>
          <w:rFonts w:ascii="Calibri" w:hAnsi="Calibri" w:cs="Calibri"/>
        </w:rPr>
        <w:t>analysed</w:t>
      </w:r>
      <w:proofErr w:type="spellEnd"/>
      <w:r w:rsidRPr="0044625D">
        <w:rPr>
          <w:rFonts w:ascii="Calibri" w:hAnsi="Calibri" w:cs="Calibri"/>
        </w:rPr>
        <w:t xml:space="preserve"> the world’s progress towards ending hunger, achieving food security and improving nutrition. It also provides an in-depth analysis of key challenges for achieving these goals in the context of the 2030 Agenda for Sustainable Development. The report targets a wide audience, including policymakers, international organizations, academic </w:t>
      </w:r>
      <w:proofErr w:type="gramStart"/>
      <w:r w:rsidRPr="0044625D">
        <w:rPr>
          <w:rFonts w:ascii="Calibri" w:hAnsi="Calibri" w:cs="Calibri"/>
        </w:rPr>
        <w:t>institutions</w:t>
      </w:r>
      <w:proofErr w:type="gramEnd"/>
      <w:r w:rsidRPr="0044625D">
        <w:rPr>
          <w:rFonts w:ascii="Calibri" w:hAnsi="Calibri" w:cs="Calibri"/>
        </w:rPr>
        <w:t xml:space="preserve"> and the general public.</w:t>
      </w:r>
    </w:p>
    <w:p w14:paraId="2531B6D4" w14:textId="09BCFC8D" w:rsidR="00624F28" w:rsidRPr="0044625D" w:rsidRDefault="00AA4767" w:rsidP="00624F28">
      <w:pPr>
        <w:rPr>
          <w:rFonts w:ascii="Calibri" w:hAnsi="Calibri" w:cs="Calibri"/>
        </w:rPr>
      </w:pPr>
      <w:r w:rsidRPr="0044625D">
        <w:rPr>
          <w:rFonts w:ascii="Calibri" w:hAnsi="Calibri" w:cs="Calibri"/>
        </w:rPr>
        <w:t xml:space="preserve">This year’s </w:t>
      </w:r>
      <w:r w:rsidR="00AF3042" w:rsidRPr="0044625D">
        <w:rPr>
          <w:rFonts w:ascii="Calibri" w:hAnsi="Calibri" w:cs="Calibri"/>
        </w:rPr>
        <w:t>theme</w:t>
      </w:r>
      <w:r w:rsidR="00624F28" w:rsidRPr="0044625D">
        <w:rPr>
          <w:rFonts w:ascii="Calibri" w:hAnsi="Calibri" w:cs="Calibri"/>
        </w:rPr>
        <w:t xml:space="preserve"> is timely</w:t>
      </w:r>
      <w:r w:rsidR="001F0165" w:rsidRPr="0044625D">
        <w:rPr>
          <w:rFonts w:ascii="Calibri" w:hAnsi="Calibri" w:cs="Calibri"/>
        </w:rPr>
        <w:t xml:space="preserve"> and relevant</w:t>
      </w:r>
      <w:r w:rsidR="00624F28" w:rsidRPr="0044625D">
        <w:rPr>
          <w:rFonts w:ascii="Calibri" w:hAnsi="Calibri" w:cs="Calibri"/>
        </w:rPr>
        <w:t xml:space="preserve"> in the </w:t>
      </w:r>
      <w:r w:rsidR="001F0165" w:rsidRPr="0044625D">
        <w:rPr>
          <w:rFonts w:ascii="Calibri" w:hAnsi="Calibri" w:cs="Calibri"/>
        </w:rPr>
        <w:t>run-up</w:t>
      </w:r>
      <w:r w:rsidR="00624F28" w:rsidRPr="0044625D">
        <w:rPr>
          <w:rFonts w:ascii="Calibri" w:hAnsi="Calibri" w:cs="Calibri"/>
        </w:rPr>
        <w:t xml:space="preserve"> to the Summit of the Future, and the Fourth International Conference on Financing for Development in 2025.</w:t>
      </w:r>
    </w:p>
    <w:p w14:paraId="05D48233" w14:textId="77777777" w:rsidR="008B2535" w:rsidRPr="0044625D" w:rsidRDefault="008B2535" w:rsidP="00624F28">
      <w:pPr>
        <w:rPr>
          <w:rFonts w:ascii="Calibri" w:hAnsi="Calibri" w:cs="Calibri"/>
        </w:rPr>
      </w:pPr>
    </w:p>
    <w:p w14:paraId="6F3DC91B" w14:textId="249550B1" w:rsidR="00AA4767" w:rsidRPr="0044625D" w:rsidRDefault="00AA4767" w:rsidP="532B0444">
      <w:pPr>
        <w:rPr>
          <w:rFonts w:ascii="Calibri" w:hAnsi="Calibri" w:cs="Calibri"/>
          <w:b/>
          <w:bCs/>
        </w:rPr>
      </w:pPr>
      <w:r w:rsidRPr="0044625D">
        <w:rPr>
          <w:rFonts w:ascii="Calibri" w:hAnsi="Calibri" w:cs="Calibri"/>
          <w:b/>
          <w:bCs/>
        </w:rPr>
        <w:t>Glossary of key terms</w:t>
      </w:r>
    </w:p>
    <w:p w14:paraId="4148C887" w14:textId="01A2088F" w:rsidR="00476022" w:rsidRPr="0044625D" w:rsidRDefault="00476022" w:rsidP="008B2535">
      <w:pPr>
        <w:spacing w:line="257" w:lineRule="auto"/>
        <w:rPr>
          <w:rFonts w:ascii="Calibri" w:eastAsia="Calibri" w:hAnsi="Calibri" w:cs="Calibri"/>
          <w:b/>
          <w:bCs/>
          <w:color w:val="000000" w:themeColor="text1"/>
        </w:rPr>
      </w:pPr>
      <w:r w:rsidRPr="0044625D">
        <w:rPr>
          <w:rFonts w:ascii="Calibri" w:eastAsia="Calibri" w:hAnsi="Calibri" w:cs="Calibri"/>
          <w:b/>
          <w:bCs/>
          <w:color w:val="000000" w:themeColor="text1"/>
        </w:rPr>
        <w:t>Diet quality (or healthy diets)</w:t>
      </w:r>
      <w:r w:rsidR="008B2535" w:rsidRPr="0044625D">
        <w:rPr>
          <w:rFonts w:ascii="Calibri" w:eastAsia="Calibri" w:hAnsi="Calibri" w:cs="Calibri"/>
          <w:b/>
          <w:bCs/>
          <w:color w:val="000000" w:themeColor="text1"/>
        </w:rPr>
        <w:t xml:space="preserve">: </w:t>
      </w:r>
      <w:r w:rsidRPr="0044625D">
        <w:rPr>
          <w:rFonts w:ascii="Calibri" w:eastAsia="Calibri" w:hAnsi="Calibri" w:cs="Calibri"/>
          <w:color w:val="000000" w:themeColor="text1"/>
        </w:rPr>
        <w:t>Comprised of four key aspects:</w:t>
      </w:r>
      <w:r w:rsidRPr="0044625D">
        <w:rPr>
          <w:rFonts w:ascii="Calibri" w:eastAsia="Calibri" w:hAnsi="Calibri" w:cs="Calibri"/>
          <w:b/>
          <w:bCs/>
          <w:color w:val="000000" w:themeColor="text1"/>
        </w:rPr>
        <w:t xml:space="preserve"> </w:t>
      </w:r>
      <w:r w:rsidRPr="0044625D">
        <w:rPr>
          <w:rFonts w:ascii="Calibri" w:eastAsia="Calibri" w:hAnsi="Calibri" w:cs="Calibri"/>
          <w:color w:val="000000" w:themeColor="text1"/>
        </w:rPr>
        <w:t>diversity (within and across food groups), adequacy (sufficiency of all essential nutrients compared to requirements), moderation (foods and nutrients that are related to poor health outcomes) and balance (energy and macronutrient intake). Foods consumed should be safe.</w:t>
      </w:r>
    </w:p>
    <w:p w14:paraId="4110D261" w14:textId="6AA65BF1" w:rsidR="532B0444" w:rsidRPr="009A0A26" w:rsidRDefault="00476022" w:rsidP="008B2535">
      <w:pPr>
        <w:spacing w:before="240" w:after="240"/>
        <w:rPr>
          <w:rFonts w:ascii="Calibri" w:eastAsia="Segoe UI" w:hAnsi="Calibri" w:cs="Calibri"/>
          <w:b/>
          <w:bCs/>
          <w:color w:val="000000" w:themeColor="text1"/>
          <w:lang w:val="en-GB"/>
        </w:rPr>
      </w:pPr>
      <w:r w:rsidRPr="0044625D">
        <w:rPr>
          <w:rFonts w:ascii="Calibri" w:eastAsia="Segoe UI" w:hAnsi="Calibri" w:cs="Calibri"/>
          <w:b/>
          <w:bCs/>
          <w:color w:val="000000" w:themeColor="text1"/>
          <w:lang w:val="en-GB"/>
        </w:rPr>
        <w:t>Food environment</w:t>
      </w:r>
      <w:r w:rsidR="008B2535" w:rsidRPr="0044625D">
        <w:rPr>
          <w:rFonts w:ascii="Calibri" w:eastAsia="Segoe UI" w:hAnsi="Calibri" w:cs="Calibri"/>
          <w:b/>
          <w:bCs/>
          <w:color w:val="000000" w:themeColor="text1"/>
          <w:lang w:val="en-GB"/>
        </w:rPr>
        <w:t xml:space="preserve">: </w:t>
      </w:r>
      <w:r w:rsidRPr="0044625D">
        <w:rPr>
          <w:rFonts w:ascii="Calibri" w:eastAsia="Segoe UI" w:hAnsi="Calibri" w:cs="Calibri"/>
          <w:color w:val="000000" w:themeColor="text1"/>
        </w:rPr>
        <w:t>The physical, economic, political and sociocultural context in which consumers engage with agrifood systems to make decisions about acquiring, preparing and consuming food.</w:t>
      </w:r>
    </w:p>
    <w:p w14:paraId="4F530A01" w14:textId="7A01B153" w:rsidR="00337FE2" w:rsidRPr="009A0A26" w:rsidRDefault="00337FE2" w:rsidP="00AA4767">
      <w:pPr>
        <w:rPr>
          <w:rFonts w:ascii="Calibri" w:hAnsi="Calibri" w:cs="Calibri"/>
        </w:rPr>
      </w:pPr>
      <w:r w:rsidRPr="009A0A26">
        <w:rPr>
          <w:rFonts w:ascii="Calibri" w:hAnsi="Calibri" w:cs="Calibri"/>
          <w:b/>
          <w:bCs/>
          <w:color w:val="000000" w:themeColor="text1"/>
        </w:rPr>
        <w:t>Hunger:</w:t>
      </w:r>
      <w:r w:rsidRPr="009A0A26">
        <w:rPr>
          <w:rFonts w:ascii="Calibri" w:hAnsi="Calibri" w:cs="Calibri"/>
          <w:color w:val="000000" w:themeColor="text1"/>
        </w:rPr>
        <w:t xml:space="preserve"> an uncomfortable or painful sensation caused by insufficient energy from diet. In this report</w:t>
      </w:r>
      <w:r w:rsidRPr="009A0A26">
        <w:rPr>
          <w:rFonts w:ascii="Calibri" w:hAnsi="Calibri" w:cs="Calibri"/>
        </w:rPr>
        <w:t xml:space="preserve">, the term hunger is synonymous with </w:t>
      </w:r>
      <w:r w:rsidRPr="009A0A26">
        <w:rPr>
          <w:rFonts w:ascii="Calibri" w:hAnsi="Calibri" w:cs="Calibri"/>
          <w:b/>
          <w:bCs/>
        </w:rPr>
        <w:t xml:space="preserve">chronic undernourishment </w:t>
      </w:r>
      <w:r w:rsidRPr="009A0A26">
        <w:rPr>
          <w:rFonts w:ascii="Calibri" w:hAnsi="Calibri" w:cs="Calibri"/>
        </w:rPr>
        <w:t>and is measured by the prevalence of undernourishment (PoU).</w:t>
      </w:r>
    </w:p>
    <w:p w14:paraId="4ABE9589" w14:textId="2C10BC72" w:rsidR="532B0444" w:rsidRPr="009A0A26" w:rsidRDefault="00AA4767" w:rsidP="008B2535">
      <w:pPr>
        <w:spacing w:line="257" w:lineRule="auto"/>
        <w:rPr>
          <w:rFonts w:ascii="Calibri" w:eastAsia="Calibri" w:hAnsi="Calibri" w:cs="Calibri"/>
        </w:rPr>
      </w:pPr>
      <w:r w:rsidRPr="009A0A26">
        <w:rPr>
          <w:rFonts w:ascii="Calibri" w:hAnsi="Calibri" w:cs="Calibri"/>
          <w:b/>
          <w:bCs/>
        </w:rPr>
        <w:t>Malnutrition:</w:t>
      </w:r>
      <w:r w:rsidRPr="009A0A26">
        <w:rPr>
          <w:rFonts w:ascii="Calibri" w:hAnsi="Calibri" w:cs="Calibri"/>
        </w:rPr>
        <w:t xml:space="preserve"> an abnormal physiological condition caused by inadequate, unbalanced or excessive intake of macronutrients and/or micronutrients</w:t>
      </w:r>
      <w:r w:rsidR="39DA9487" w:rsidRPr="009A0A26">
        <w:rPr>
          <w:rFonts w:ascii="Calibri" w:eastAsia="Calibri" w:hAnsi="Calibri" w:cs="Calibri"/>
        </w:rPr>
        <w:t xml:space="preserve"> and/or by disease that causes weight loss. Malnutrition includes undernutrition (child stunting and wasting), vitamin and mineral deficiencies (also known as micronutrient deficiencies) as well as overweight and obesity. </w:t>
      </w:r>
    </w:p>
    <w:p w14:paraId="12DFFBC5" w14:textId="5EE70514" w:rsidR="00AA4767" w:rsidRPr="00A952FB" w:rsidRDefault="00AA4767" w:rsidP="00AA4767">
      <w:pPr>
        <w:rPr>
          <w:rFonts w:ascii="Calibri" w:hAnsi="Calibri" w:cs="Calibri"/>
        </w:rPr>
      </w:pPr>
      <w:r w:rsidRPr="009A0A26">
        <w:rPr>
          <w:rFonts w:ascii="Calibri" w:hAnsi="Calibri" w:cs="Calibri"/>
          <w:b/>
          <w:bCs/>
        </w:rPr>
        <w:t>Moderate food insecurity:</w:t>
      </w:r>
      <w:r w:rsidRPr="009A0A26">
        <w:rPr>
          <w:rFonts w:ascii="Calibri" w:hAnsi="Calibri" w:cs="Calibri"/>
        </w:rPr>
        <w:t xml:space="preserve"> a level of severity of food insecurity</w:t>
      </w:r>
      <w:r w:rsidRPr="00A952FB">
        <w:rPr>
          <w:rFonts w:ascii="Calibri" w:hAnsi="Calibri" w:cs="Calibri"/>
        </w:rPr>
        <w:t xml:space="preserve"> at which people face uncertainties about their ability to obtain food and have been forced to reduce, at times during the year, the quality and/or quantity of food they consume due to lack of money or other resources. It refers to a lack of consistent access to food, which diminishes dietary quality and disrupts normal eating patterns. It is measured with </w:t>
      </w:r>
      <w:r w:rsidRPr="00A952FB">
        <w:rPr>
          <w:rFonts w:ascii="Calibri" w:hAnsi="Calibri" w:cs="Calibri"/>
        </w:rPr>
        <w:lastRenderedPageBreak/>
        <w:t>the Food Insecurity Experience Scale and contributes to track</w:t>
      </w:r>
      <w:r w:rsidR="6AFFC0C2" w:rsidRPr="00A952FB">
        <w:rPr>
          <w:rFonts w:ascii="Calibri" w:hAnsi="Calibri" w:cs="Calibri"/>
        </w:rPr>
        <w:t>ing</w:t>
      </w:r>
      <w:r w:rsidRPr="00A952FB">
        <w:rPr>
          <w:rFonts w:ascii="Calibri" w:hAnsi="Calibri" w:cs="Calibri"/>
        </w:rPr>
        <w:t xml:space="preserve"> the progress towards SDG Target 2.1 (Indicator 2.1.2).</w:t>
      </w:r>
    </w:p>
    <w:p w14:paraId="34F73247" w14:textId="2C05FF82" w:rsidR="00AA4767" w:rsidRPr="00A952FB" w:rsidRDefault="00AA4767" w:rsidP="00AA4767">
      <w:pPr>
        <w:rPr>
          <w:rFonts w:ascii="Calibri" w:hAnsi="Calibri" w:cs="Calibri"/>
        </w:rPr>
      </w:pPr>
      <w:r w:rsidRPr="00A952FB">
        <w:rPr>
          <w:rFonts w:ascii="Calibri" w:hAnsi="Calibri" w:cs="Calibri"/>
          <w:b/>
          <w:bCs/>
        </w:rPr>
        <w:t>Severe food insecurity:</w:t>
      </w:r>
      <w:r w:rsidRPr="00A952FB">
        <w:rPr>
          <w:rFonts w:ascii="Calibri" w:hAnsi="Calibri" w:cs="Calibri"/>
        </w:rPr>
        <w:t xml:space="preserve"> a level of severity of food insecurity at which, at some time during the year, people have run out of food, experienced hunger and at the most extreme, gone without food for a day or more. It is measured with the Food Insecurity Experience Scale and contributes to track</w:t>
      </w:r>
      <w:r w:rsidR="213B0302" w:rsidRPr="00A952FB">
        <w:rPr>
          <w:rFonts w:ascii="Calibri" w:hAnsi="Calibri" w:cs="Calibri"/>
        </w:rPr>
        <w:t>ing</w:t>
      </w:r>
      <w:r w:rsidRPr="00A952FB">
        <w:rPr>
          <w:rFonts w:ascii="Calibri" w:hAnsi="Calibri" w:cs="Calibri"/>
        </w:rPr>
        <w:t xml:space="preserve"> the progress towards SDG Target 2.1 (Indicator 2.1.2).</w:t>
      </w:r>
    </w:p>
    <w:p w14:paraId="725E55D1" w14:textId="6CF1260B" w:rsidR="00AA4767" w:rsidRPr="00FA5F67" w:rsidRDefault="00AA4767" w:rsidP="00AA4767">
      <w:pPr>
        <w:rPr>
          <w:rFonts w:ascii="Calibri" w:hAnsi="Calibri" w:cs="Calibri"/>
        </w:rPr>
      </w:pPr>
      <w:r w:rsidRPr="00A952FB">
        <w:rPr>
          <w:rFonts w:ascii="Calibri" w:hAnsi="Calibri" w:cs="Calibri"/>
          <w:b/>
          <w:bCs/>
        </w:rPr>
        <w:t>Undernourishment</w:t>
      </w:r>
      <w:r w:rsidRPr="00A952FB">
        <w:rPr>
          <w:rFonts w:ascii="Calibri" w:hAnsi="Calibri" w:cs="Calibri"/>
        </w:rPr>
        <w:t xml:space="preserve">: a condition in which an individual’s habitual food consumption is insufficient to provide the amount of dietary energy required to maintain a normal, active, </w:t>
      </w:r>
      <w:r w:rsidR="640BA621" w:rsidRPr="00A952FB">
        <w:rPr>
          <w:rFonts w:ascii="Calibri" w:hAnsi="Calibri" w:cs="Calibri"/>
        </w:rPr>
        <w:t xml:space="preserve">and </w:t>
      </w:r>
      <w:r w:rsidRPr="00A952FB">
        <w:rPr>
          <w:rFonts w:ascii="Calibri" w:hAnsi="Calibri" w:cs="Calibri"/>
        </w:rPr>
        <w:t xml:space="preserve">healthy life. The prevalence of undernourishment is used to measure hunger and progress towards SDG Target 2.1 </w:t>
      </w:r>
      <w:r w:rsidRPr="00FA5F67">
        <w:rPr>
          <w:rFonts w:ascii="Calibri" w:hAnsi="Calibri" w:cs="Calibri"/>
        </w:rPr>
        <w:t>(Indicator 2.1.1).</w:t>
      </w:r>
    </w:p>
    <w:p w14:paraId="21546781" w14:textId="3262997C" w:rsidR="00B045DC" w:rsidRPr="00FA5F67" w:rsidRDefault="00B045DC" w:rsidP="00AA4767">
      <w:pPr>
        <w:rPr>
          <w:rFonts w:ascii="Calibri" w:hAnsi="Calibri" w:cs="Calibri"/>
        </w:rPr>
      </w:pPr>
      <w:r w:rsidRPr="00FA5F67">
        <w:rPr>
          <w:rFonts w:ascii="Calibri" w:hAnsi="Calibri" w:cs="Calibri"/>
        </w:rPr>
        <w:t>More on this topic</w:t>
      </w:r>
    </w:p>
    <w:p w14:paraId="7822248A" w14:textId="24D808D2" w:rsidR="00B045DC" w:rsidRPr="00FA5F67" w:rsidRDefault="00000000" w:rsidP="00AA4767">
      <w:pPr>
        <w:rPr>
          <w:rFonts w:ascii="Calibri" w:hAnsi="Calibri" w:cs="Calibri"/>
          <w:color w:val="0563C1"/>
          <w:u w:val="single"/>
        </w:rPr>
      </w:pPr>
      <w:hyperlink r:id="rId12" w:history="1">
        <w:r w:rsidR="008105F6" w:rsidRPr="00FA5F67">
          <w:rPr>
            <w:rStyle w:val="Hyperlink"/>
            <w:rFonts w:ascii="Calibri" w:hAnsi="Calibri" w:cs="Calibri"/>
            <w:color w:val="0563C1"/>
          </w:rPr>
          <w:t>SOFI previous editions</w:t>
        </w:r>
      </w:hyperlink>
    </w:p>
    <w:p w14:paraId="459A12A5" w14:textId="6C4F236F" w:rsidR="00FA5F67" w:rsidRDefault="00000000" w:rsidP="00FA5F67">
      <w:pPr>
        <w:spacing w:line="240" w:lineRule="auto"/>
        <w:rPr>
          <w:rFonts w:ascii="Calibri" w:hAnsi="Calibri" w:cs="Calibri"/>
        </w:rPr>
      </w:pPr>
      <w:hyperlink r:id="rId13" w:history="1">
        <w:r w:rsidR="00B315F8" w:rsidRPr="00FA5F67">
          <w:rPr>
            <w:rStyle w:val="Hyperlink"/>
            <w:rFonts w:ascii="Calibri" w:hAnsi="Calibri" w:cs="Calibri"/>
          </w:rPr>
          <w:t>Interactive story SOFI 2024</w:t>
        </w:r>
      </w:hyperlink>
      <w:r w:rsidR="00B315F8" w:rsidRPr="00FA5F67">
        <w:rPr>
          <w:rFonts w:ascii="Calibri" w:hAnsi="Calibri" w:cs="Calibri"/>
        </w:rPr>
        <w:t xml:space="preserve"> </w:t>
      </w:r>
      <w:r w:rsidR="00FA5F67" w:rsidRPr="00FA5F67">
        <w:rPr>
          <w:rFonts w:ascii="Calibri" w:hAnsi="Calibri" w:cs="Calibri"/>
        </w:rPr>
        <w:br/>
      </w:r>
      <w:r w:rsidR="00FA5F67" w:rsidRPr="00FA5F67">
        <w:rPr>
          <w:rFonts w:ascii="Calibri" w:hAnsi="Calibri" w:cs="Calibri"/>
        </w:rPr>
        <w:br/>
      </w:r>
      <w:r w:rsidR="00FA5F67" w:rsidRPr="00FA5F67">
        <w:rPr>
          <w:rFonts w:ascii="Calibri" w:hAnsi="Calibri" w:cs="Calibri"/>
          <w:b/>
          <w:bCs/>
        </w:rPr>
        <w:t xml:space="preserve">Media contacts: </w:t>
      </w:r>
      <w:r w:rsidR="00FA5F67" w:rsidRPr="00FA5F67">
        <w:rPr>
          <w:rFonts w:ascii="Calibri" w:hAnsi="Calibri" w:cs="Calibri"/>
          <w:b/>
          <w:bCs/>
        </w:rPr>
        <w:br/>
      </w:r>
      <w:r w:rsidR="00FA5F67" w:rsidRPr="00FA5F67">
        <w:rPr>
          <w:rFonts w:ascii="Calibri" w:hAnsi="Calibri" w:cs="Calibri"/>
        </w:rPr>
        <w:br/>
      </w:r>
      <w:r w:rsidR="00FA5F67" w:rsidRPr="00FA5F67">
        <w:rPr>
          <w:rFonts w:ascii="Calibri" w:hAnsi="Calibri" w:cs="Calibri"/>
        </w:rPr>
        <w:t>FAO News and Media</w:t>
      </w:r>
      <w:r w:rsidR="00FA5F67">
        <w:rPr>
          <w:rFonts w:ascii="Calibri" w:hAnsi="Calibri" w:cs="Calibri"/>
        </w:rPr>
        <w:br/>
      </w:r>
      <w:hyperlink r:id="rId14" w:history="1">
        <w:r w:rsidR="00FA5F67" w:rsidRPr="00FA5F67">
          <w:rPr>
            <w:rStyle w:val="Hyperlink"/>
            <w:rFonts w:ascii="Calibri" w:hAnsi="Calibri" w:cs="Calibri"/>
          </w:rPr>
          <w:t>FAO-Newsroom@fao.org</w:t>
        </w:r>
      </w:hyperlink>
      <w:r w:rsidR="00FA5F67">
        <w:rPr>
          <w:rFonts w:ascii="Calibri" w:hAnsi="Calibri" w:cs="Calibri"/>
        </w:rPr>
        <w:br/>
      </w:r>
      <w:r w:rsidR="00FA5F67">
        <w:rPr>
          <w:rFonts w:ascii="Calibri" w:hAnsi="Calibri" w:cs="Calibri"/>
        </w:rPr>
        <w:br/>
      </w:r>
      <w:r w:rsidR="00FA5F67" w:rsidRPr="00FA5F67">
        <w:rPr>
          <w:rFonts w:ascii="Calibri" w:hAnsi="Calibri" w:cs="Calibri"/>
          <w:lang w:val="es-CO"/>
        </w:rPr>
        <w:t xml:space="preserve">IFAD </w:t>
      </w:r>
      <w:proofErr w:type="spellStart"/>
      <w:r w:rsidR="00FA5F67" w:rsidRPr="00FA5F67">
        <w:rPr>
          <w:rFonts w:ascii="Calibri" w:hAnsi="Calibri" w:cs="Calibri"/>
          <w:lang w:val="es-CO"/>
        </w:rPr>
        <w:t>Newsroom</w:t>
      </w:r>
      <w:proofErr w:type="spellEnd"/>
      <w:r w:rsidR="00FA5F67">
        <w:rPr>
          <w:rFonts w:ascii="Calibri" w:hAnsi="Calibri" w:cs="Calibri"/>
          <w:lang w:val="es-CO"/>
        </w:rPr>
        <w:br/>
      </w:r>
      <w:hyperlink r:id="rId15" w:history="1">
        <w:r w:rsidR="00FA5F67" w:rsidRPr="00FA5F67">
          <w:rPr>
            <w:rStyle w:val="Hyperlink"/>
            <w:rFonts w:ascii="Calibri" w:eastAsia="Times New Roman" w:hAnsi="Calibri" w:cs="Calibri"/>
          </w:rPr>
          <w:t>a.trillobarca@ifad.org</w:t>
        </w:r>
      </w:hyperlink>
      <w:r w:rsidR="00FA5F67" w:rsidRPr="00FA5F67">
        <w:rPr>
          <w:rFonts w:ascii="Calibri" w:eastAsia="Times New Roman" w:hAnsi="Calibri" w:cs="Calibri"/>
        </w:rPr>
        <w:t xml:space="preserve"> </w:t>
      </w:r>
      <w:r w:rsidR="00FA5F67">
        <w:rPr>
          <w:rFonts w:ascii="Calibri" w:eastAsia="Times New Roman" w:hAnsi="Calibri" w:cs="Calibri"/>
        </w:rPr>
        <w:br/>
      </w:r>
      <w:r w:rsidR="00FA5F67">
        <w:rPr>
          <w:rFonts w:ascii="Calibri" w:eastAsia="Times New Roman" w:hAnsi="Calibri" w:cs="Calibri"/>
        </w:rPr>
        <w:br/>
      </w:r>
      <w:r w:rsidR="00FA5F67" w:rsidRPr="00FA5F67">
        <w:rPr>
          <w:rFonts w:ascii="Calibri" w:hAnsi="Calibri" w:cs="Calibri"/>
          <w:lang w:val="es-CO"/>
        </w:rPr>
        <w:t>UNICEF Media</w:t>
      </w:r>
      <w:r w:rsidR="00FA5F67">
        <w:rPr>
          <w:rFonts w:ascii="Calibri" w:hAnsi="Calibri" w:cs="Calibri"/>
          <w:lang w:val="es-CO"/>
        </w:rPr>
        <w:br/>
      </w:r>
      <w:hyperlink r:id="rId16" w:history="1">
        <w:r w:rsidR="00FA5F67" w:rsidRPr="00FA5F67">
          <w:rPr>
            <w:rStyle w:val="Hyperlink"/>
            <w:rFonts w:ascii="Calibri" w:hAnsi="Calibri" w:cs="Calibri"/>
            <w:lang w:val="es-CO"/>
          </w:rPr>
          <w:t>nsamie@unicef.org</w:t>
        </w:r>
      </w:hyperlink>
      <w:r w:rsidR="00FA5F67">
        <w:rPr>
          <w:rFonts w:ascii="Calibri" w:hAnsi="Calibri" w:cs="Calibri"/>
          <w:lang w:val="es-CO"/>
        </w:rPr>
        <w:br/>
      </w:r>
      <w:r w:rsidR="00FA5F67">
        <w:rPr>
          <w:rFonts w:ascii="Calibri" w:hAnsi="Calibri" w:cs="Calibri"/>
          <w:lang w:val="es-CO"/>
        </w:rPr>
        <w:br/>
      </w:r>
      <w:r w:rsidR="00FA5F67" w:rsidRPr="00FA5F67">
        <w:rPr>
          <w:rFonts w:ascii="Calibri" w:hAnsi="Calibri" w:cs="Calibri"/>
          <w:lang w:val="es-CO"/>
        </w:rPr>
        <w:t>WHO Media</w:t>
      </w:r>
      <w:r w:rsidR="00FA5F67">
        <w:rPr>
          <w:rFonts w:ascii="Calibri" w:hAnsi="Calibri" w:cs="Calibri"/>
          <w:lang w:val="es-CO"/>
        </w:rPr>
        <w:br/>
      </w:r>
      <w:hyperlink r:id="rId17" w:history="1">
        <w:r w:rsidR="00FA5F67" w:rsidRPr="00FA5F67">
          <w:rPr>
            <w:rStyle w:val="Hyperlink"/>
            <w:rFonts w:ascii="Calibri" w:hAnsi="Calibri" w:cs="Calibri"/>
            <w:lang w:val="es-CO"/>
          </w:rPr>
          <w:t>mediainquiries@who.int</w:t>
        </w:r>
      </w:hyperlink>
      <w:r w:rsidR="00FA5F67">
        <w:rPr>
          <w:rFonts w:ascii="Calibri" w:hAnsi="Calibri" w:cs="Calibri"/>
          <w:lang w:val="es-CO"/>
        </w:rPr>
        <w:br/>
      </w:r>
      <w:r w:rsidR="00FA5F67">
        <w:rPr>
          <w:rFonts w:ascii="Calibri" w:hAnsi="Calibri" w:cs="Calibri"/>
          <w:lang w:val="es-CO"/>
        </w:rPr>
        <w:br/>
      </w:r>
      <w:r w:rsidR="00FA5F67" w:rsidRPr="00FA5F67">
        <w:rPr>
          <w:rFonts w:ascii="Calibri" w:hAnsi="Calibri" w:cs="Calibri"/>
        </w:rPr>
        <w:t>WFP Media</w:t>
      </w:r>
      <w:r w:rsidR="00FA5F67">
        <w:rPr>
          <w:rFonts w:ascii="Calibri" w:hAnsi="Calibri" w:cs="Calibri"/>
        </w:rPr>
        <w:br/>
      </w:r>
      <w:hyperlink r:id="rId18" w:history="1">
        <w:r w:rsidR="00FA5F67" w:rsidRPr="00FA5F67">
          <w:rPr>
            <w:rStyle w:val="Hyperlink"/>
            <w:rFonts w:ascii="Calibri" w:hAnsi="Calibri" w:cs="Calibri"/>
          </w:rPr>
          <w:t>wfp.media@wfp.org</w:t>
        </w:r>
      </w:hyperlink>
      <w:r w:rsidR="00FA5F67">
        <w:rPr>
          <w:rFonts w:ascii="Calibri" w:hAnsi="Calibri" w:cs="Calibri"/>
        </w:rPr>
        <w:br/>
      </w:r>
    </w:p>
    <w:p w14:paraId="6F0FC008" w14:textId="77777777" w:rsidR="00FA5F67" w:rsidRDefault="00FA5F67" w:rsidP="00FA5F67">
      <w:pPr>
        <w:spacing w:line="240" w:lineRule="auto"/>
        <w:rPr>
          <w:rFonts w:ascii="Calibri" w:hAnsi="Calibri" w:cs="Calibri"/>
        </w:rPr>
      </w:pPr>
    </w:p>
    <w:p w14:paraId="1C908606" w14:textId="77777777" w:rsidR="00FA5F67" w:rsidRPr="00FA5F67" w:rsidRDefault="00FA5F67" w:rsidP="00FA5F67">
      <w:pPr>
        <w:spacing w:line="240" w:lineRule="auto"/>
        <w:rPr>
          <w:rFonts w:ascii="Calibri" w:hAnsi="Calibri" w:cs="Calibri"/>
        </w:rPr>
      </w:pPr>
    </w:p>
    <w:sectPr w:rsidR="00FA5F67" w:rsidRPr="00FA5F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4931A" w14:textId="77777777" w:rsidR="006D2AD9" w:rsidRDefault="006D2AD9" w:rsidP="00AA4767">
      <w:pPr>
        <w:spacing w:after="0" w:line="240" w:lineRule="auto"/>
      </w:pPr>
      <w:r>
        <w:separator/>
      </w:r>
    </w:p>
  </w:endnote>
  <w:endnote w:type="continuationSeparator" w:id="0">
    <w:p w14:paraId="39CE6177" w14:textId="77777777" w:rsidR="006D2AD9" w:rsidRDefault="006D2AD9" w:rsidP="00AA4767">
      <w:pPr>
        <w:spacing w:after="0" w:line="240" w:lineRule="auto"/>
      </w:pPr>
      <w:r>
        <w:continuationSeparator/>
      </w:r>
    </w:p>
  </w:endnote>
  <w:endnote w:type="continuationNotice" w:id="1">
    <w:p w14:paraId="225AA5C6" w14:textId="77777777" w:rsidR="006D2AD9" w:rsidRDefault="006D2A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F2F46" w14:textId="77777777" w:rsidR="006D2AD9" w:rsidRDefault="006D2AD9" w:rsidP="00AA4767">
      <w:pPr>
        <w:spacing w:after="0" w:line="240" w:lineRule="auto"/>
      </w:pPr>
      <w:r>
        <w:separator/>
      </w:r>
    </w:p>
  </w:footnote>
  <w:footnote w:type="continuationSeparator" w:id="0">
    <w:p w14:paraId="4A2369A2" w14:textId="77777777" w:rsidR="006D2AD9" w:rsidRDefault="006D2AD9" w:rsidP="00AA4767">
      <w:pPr>
        <w:spacing w:after="0" w:line="240" w:lineRule="auto"/>
      </w:pPr>
      <w:r>
        <w:continuationSeparator/>
      </w:r>
    </w:p>
  </w:footnote>
  <w:footnote w:type="continuationNotice" w:id="1">
    <w:p w14:paraId="2BE18709" w14:textId="77777777" w:rsidR="006D2AD9" w:rsidRDefault="006D2AD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VpsJiGpB" int2:invalidationBookmarkName="" int2:hashCode="7RQ0y9tth6UEmX" int2:id="vZKlp5D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4E3BE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E6BA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5498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545527"/>
    <w:multiLevelType w:val="hybridMultilevel"/>
    <w:tmpl w:val="04741D8C"/>
    <w:lvl w:ilvl="0" w:tplc="EA6E35EE">
      <w:start w:val="1"/>
      <w:numFmt w:val="bullet"/>
      <w:lvlText w:val="•"/>
      <w:lvlJc w:val="left"/>
      <w:pPr>
        <w:tabs>
          <w:tab w:val="num" w:pos="720"/>
        </w:tabs>
        <w:ind w:left="720" w:hanging="360"/>
      </w:pPr>
      <w:rPr>
        <w:rFonts w:ascii="Arial" w:hAnsi="Arial" w:hint="default"/>
      </w:rPr>
    </w:lvl>
    <w:lvl w:ilvl="1" w:tplc="4E28D880" w:tentative="1">
      <w:start w:val="1"/>
      <w:numFmt w:val="bullet"/>
      <w:lvlText w:val="•"/>
      <w:lvlJc w:val="left"/>
      <w:pPr>
        <w:tabs>
          <w:tab w:val="num" w:pos="1440"/>
        </w:tabs>
        <w:ind w:left="1440" w:hanging="360"/>
      </w:pPr>
      <w:rPr>
        <w:rFonts w:ascii="Arial" w:hAnsi="Arial" w:hint="default"/>
      </w:rPr>
    </w:lvl>
    <w:lvl w:ilvl="2" w:tplc="46766EAC" w:tentative="1">
      <w:start w:val="1"/>
      <w:numFmt w:val="bullet"/>
      <w:lvlText w:val="•"/>
      <w:lvlJc w:val="left"/>
      <w:pPr>
        <w:tabs>
          <w:tab w:val="num" w:pos="2160"/>
        </w:tabs>
        <w:ind w:left="2160" w:hanging="360"/>
      </w:pPr>
      <w:rPr>
        <w:rFonts w:ascii="Arial" w:hAnsi="Arial" w:hint="default"/>
      </w:rPr>
    </w:lvl>
    <w:lvl w:ilvl="3" w:tplc="3F90C0BA" w:tentative="1">
      <w:start w:val="1"/>
      <w:numFmt w:val="bullet"/>
      <w:lvlText w:val="•"/>
      <w:lvlJc w:val="left"/>
      <w:pPr>
        <w:tabs>
          <w:tab w:val="num" w:pos="2880"/>
        </w:tabs>
        <w:ind w:left="2880" w:hanging="360"/>
      </w:pPr>
      <w:rPr>
        <w:rFonts w:ascii="Arial" w:hAnsi="Arial" w:hint="default"/>
      </w:rPr>
    </w:lvl>
    <w:lvl w:ilvl="4" w:tplc="3B0CCB5C" w:tentative="1">
      <w:start w:val="1"/>
      <w:numFmt w:val="bullet"/>
      <w:lvlText w:val="•"/>
      <w:lvlJc w:val="left"/>
      <w:pPr>
        <w:tabs>
          <w:tab w:val="num" w:pos="3600"/>
        </w:tabs>
        <w:ind w:left="3600" w:hanging="360"/>
      </w:pPr>
      <w:rPr>
        <w:rFonts w:ascii="Arial" w:hAnsi="Arial" w:hint="default"/>
      </w:rPr>
    </w:lvl>
    <w:lvl w:ilvl="5" w:tplc="1A9AF69A" w:tentative="1">
      <w:start w:val="1"/>
      <w:numFmt w:val="bullet"/>
      <w:lvlText w:val="•"/>
      <w:lvlJc w:val="left"/>
      <w:pPr>
        <w:tabs>
          <w:tab w:val="num" w:pos="4320"/>
        </w:tabs>
        <w:ind w:left="4320" w:hanging="360"/>
      </w:pPr>
      <w:rPr>
        <w:rFonts w:ascii="Arial" w:hAnsi="Arial" w:hint="default"/>
      </w:rPr>
    </w:lvl>
    <w:lvl w:ilvl="6" w:tplc="220205D2" w:tentative="1">
      <w:start w:val="1"/>
      <w:numFmt w:val="bullet"/>
      <w:lvlText w:val="•"/>
      <w:lvlJc w:val="left"/>
      <w:pPr>
        <w:tabs>
          <w:tab w:val="num" w:pos="5040"/>
        </w:tabs>
        <w:ind w:left="5040" w:hanging="360"/>
      </w:pPr>
      <w:rPr>
        <w:rFonts w:ascii="Arial" w:hAnsi="Arial" w:hint="default"/>
      </w:rPr>
    </w:lvl>
    <w:lvl w:ilvl="7" w:tplc="BD04E62E" w:tentative="1">
      <w:start w:val="1"/>
      <w:numFmt w:val="bullet"/>
      <w:lvlText w:val="•"/>
      <w:lvlJc w:val="left"/>
      <w:pPr>
        <w:tabs>
          <w:tab w:val="num" w:pos="5760"/>
        </w:tabs>
        <w:ind w:left="5760" w:hanging="360"/>
      </w:pPr>
      <w:rPr>
        <w:rFonts w:ascii="Arial" w:hAnsi="Arial" w:hint="default"/>
      </w:rPr>
    </w:lvl>
    <w:lvl w:ilvl="8" w:tplc="2524581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A1716A7"/>
    <w:multiLevelType w:val="hybridMultilevel"/>
    <w:tmpl w:val="5F0C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240110">
    <w:abstractNumId w:val="2"/>
  </w:num>
  <w:num w:numId="2" w16cid:durableId="1439327960">
    <w:abstractNumId w:val="0"/>
  </w:num>
  <w:num w:numId="3" w16cid:durableId="116879637">
    <w:abstractNumId w:val="4"/>
  </w:num>
  <w:num w:numId="4" w16cid:durableId="1796947959">
    <w:abstractNumId w:val="1"/>
  </w:num>
  <w:num w:numId="5" w16cid:durableId="109785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2AA"/>
    <w:rsid w:val="00012A24"/>
    <w:rsid w:val="000163FB"/>
    <w:rsid w:val="0001714F"/>
    <w:rsid w:val="00024ED7"/>
    <w:rsid w:val="00030AE1"/>
    <w:rsid w:val="000315BB"/>
    <w:rsid w:val="00034B61"/>
    <w:rsid w:val="00034F55"/>
    <w:rsid w:val="0004632E"/>
    <w:rsid w:val="00046BB4"/>
    <w:rsid w:val="000521CC"/>
    <w:rsid w:val="00052B8D"/>
    <w:rsid w:val="00060202"/>
    <w:rsid w:val="000735C4"/>
    <w:rsid w:val="00080BD8"/>
    <w:rsid w:val="00081452"/>
    <w:rsid w:val="00092EC5"/>
    <w:rsid w:val="000963B3"/>
    <w:rsid w:val="000A08C4"/>
    <w:rsid w:val="000A1C0A"/>
    <w:rsid w:val="000A459A"/>
    <w:rsid w:val="000A5484"/>
    <w:rsid w:val="000B12F7"/>
    <w:rsid w:val="000C44E9"/>
    <w:rsid w:val="000D0F83"/>
    <w:rsid w:val="000D10E9"/>
    <w:rsid w:val="001052A3"/>
    <w:rsid w:val="001107F0"/>
    <w:rsid w:val="0011387A"/>
    <w:rsid w:val="00120864"/>
    <w:rsid w:val="00127565"/>
    <w:rsid w:val="00133000"/>
    <w:rsid w:val="00154F26"/>
    <w:rsid w:val="00163805"/>
    <w:rsid w:val="001909DB"/>
    <w:rsid w:val="00190BC9"/>
    <w:rsid w:val="00191519"/>
    <w:rsid w:val="001A1FFE"/>
    <w:rsid w:val="001A29E6"/>
    <w:rsid w:val="001A2DE7"/>
    <w:rsid w:val="001A38F5"/>
    <w:rsid w:val="001A561C"/>
    <w:rsid w:val="001B7D97"/>
    <w:rsid w:val="001C0E32"/>
    <w:rsid w:val="001C7B41"/>
    <w:rsid w:val="001D5583"/>
    <w:rsid w:val="001D6658"/>
    <w:rsid w:val="001D766B"/>
    <w:rsid w:val="001D7905"/>
    <w:rsid w:val="001E30DC"/>
    <w:rsid w:val="001E6A37"/>
    <w:rsid w:val="001E7D74"/>
    <w:rsid w:val="001F0165"/>
    <w:rsid w:val="001F0815"/>
    <w:rsid w:val="001F0E1F"/>
    <w:rsid w:val="00202253"/>
    <w:rsid w:val="00202AC0"/>
    <w:rsid w:val="002116D9"/>
    <w:rsid w:val="00211EBC"/>
    <w:rsid w:val="00225CF0"/>
    <w:rsid w:val="00226626"/>
    <w:rsid w:val="00234DF0"/>
    <w:rsid w:val="002411F2"/>
    <w:rsid w:val="00243927"/>
    <w:rsid w:val="00246EFF"/>
    <w:rsid w:val="00254648"/>
    <w:rsid w:val="00254FC8"/>
    <w:rsid w:val="0027107D"/>
    <w:rsid w:val="00290F16"/>
    <w:rsid w:val="002926CB"/>
    <w:rsid w:val="002A5A31"/>
    <w:rsid w:val="002A71C2"/>
    <w:rsid w:val="002D5E6D"/>
    <w:rsid w:val="002E0454"/>
    <w:rsid w:val="0030465E"/>
    <w:rsid w:val="00315FD8"/>
    <w:rsid w:val="0031657D"/>
    <w:rsid w:val="00333040"/>
    <w:rsid w:val="00337FE2"/>
    <w:rsid w:val="00347726"/>
    <w:rsid w:val="003570C5"/>
    <w:rsid w:val="00364FFF"/>
    <w:rsid w:val="00367FE6"/>
    <w:rsid w:val="00370315"/>
    <w:rsid w:val="00372F8C"/>
    <w:rsid w:val="00374969"/>
    <w:rsid w:val="00376EF4"/>
    <w:rsid w:val="00377E8D"/>
    <w:rsid w:val="00384F56"/>
    <w:rsid w:val="00387006"/>
    <w:rsid w:val="00390506"/>
    <w:rsid w:val="00397247"/>
    <w:rsid w:val="00397CBD"/>
    <w:rsid w:val="003A2722"/>
    <w:rsid w:val="003B5884"/>
    <w:rsid w:val="003C048E"/>
    <w:rsid w:val="003C5696"/>
    <w:rsid w:val="003E3193"/>
    <w:rsid w:val="003F35CC"/>
    <w:rsid w:val="00406283"/>
    <w:rsid w:val="0041040D"/>
    <w:rsid w:val="00410410"/>
    <w:rsid w:val="004229E2"/>
    <w:rsid w:val="0042352A"/>
    <w:rsid w:val="00442A10"/>
    <w:rsid w:val="004438C5"/>
    <w:rsid w:val="00443F3F"/>
    <w:rsid w:val="0044557D"/>
    <w:rsid w:val="0044625D"/>
    <w:rsid w:val="00460689"/>
    <w:rsid w:val="0046453D"/>
    <w:rsid w:val="004671EA"/>
    <w:rsid w:val="00476022"/>
    <w:rsid w:val="004801A4"/>
    <w:rsid w:val="004924BE"/>
    <w:rsid w:val="004A6E65"/>
    <w:rsid w:val="004B18EA"/>
    <w:rsid w:val="004B2EFB"/>
    <w:rsid w:val="004B3383"/>
    <w:rsid w:val="004C1093"/>
    <w:rsid w:val="004C42E7"/>
    <w:rsid w:val="004C56CD"/>
    <w:rsid w:val="004C58DF"/>
    <w:rsid w:val="004D05E7"/>
    <w:rsid w:val="004E0A11"/>
    <w:rsid w:val="004E57B4"/>
    <w:rsid w:val="004F0B59"/>
    <w:rsid w:val="004F1B07"/>
    <w:rsid w:val="004F1FF4"/>
    <w:rsid w:val="00504468"/>
    <w:rsid w:val="00506F4B"/>
    <w:rsid w:val="0051203A"/>
    <w:rsid w:val="00524822"/>
    <w:rsid w:val="00530F52"/>
    <w:rsid w:val="00540502"/>
    <w:rsid w:val="005456FA"/>
    <w:rsid w:val="00550A89"/>
    <w:rsid w:val="00551538"/>
    <w:rsid w:val="0055384A"/>
    <w:rsid w:val="00576B2B"/>
    <w:rsid w:val="00581698"/>
    <w:rsid w:val="00590F88"/>
    <w:rsid w:val="00591684"/>
    <w:rsid w:val="005B083D"/>
    <w:rsid w:val="005B2861"/>
    <w:rsid w:val="005C2923"/>
    <w:rsid w:val="005C31BC"/>
    <w:rsid w:val="005D2005"/>
    <w:rsid w:val="005D74C7"/>
    <w:rsid w:val="005E0589"/>
    <w:rsid w:val="005E34AF"/>
    <w:rsid w:val="005F1F9F"/>
    <w:rsid w:val="00601DA4"/>
    <w:rsid w:val="006072D0"/>
    <w:rsid w:val="0061393C"/>
    <w:rsid w:val="00616B3F"/>
    <w:rsid w:val="00617E4E"/>
    <w:rsid w:val="006200F5"/>
    <w:rsid w:val="00622213"/>
    <w:rsid w:val="00624F28"/>
    <w:rsid w:val="006457C1"/>
    <w:rsid w:val="006554AA"/>
    <w:rsid w:val="0066092E"/>
    <w:rsid w:val="00672EAF"/>
    <w:rsid w:val="006777B6"/>
    <w:rsid w:val="00686605"/>
    <w:rsid w:val="0069050F"/>
    <w:rsid w:val="006A114F"/>
    <w:rsid w:val="006A42E1"/>
    <w:rsid w:val="006A44DE"/>
    <w:rsid w:val="006A4BFA"/>
    <w:rsid w:val="006A5DA7"/>
    <w:rsid w:val="006A78A1"/>
    <w:rsid w:val="006D2AD9"/>
    <w:rsid w:val="006E0579"/>
    <w:rsid w:val="006E1E96"/>
    <w:rsid w:val="006E6E89"/>
    <w:rsid w:val="006F1C2A"/>
    <w:rsid w:val="006F2DEC"/>
    <w:rsid w:val="00700171"/>
    <w:rsid w:val="00717845"/>
    <w:rsid w:val="00717A0E"/>
    <w:rsid w:val="007232FB"/>
    <w:rsid w:val="00726931"/>
    <w:rsid w:val="00734332"/>
    <w:rsid w:val="00740EC3"/>
    <w:rsid w:val="00747B45"/>
    <w:rsid w:val="00751D7A"/>
    <w:rsid w:val="00757356"/>
    <w:rsid w:val="00761BC5"/>
    <w:rsid w:val="0076658B"/>
    <w:rsid w:val="00767AB3"/>
    <w:rsid w:val="00773EB1"/>
    <w:rsid w:val="007803B8"/>
    <w:rsid w:val="0078237E"/>
    <w:rsid w:val="00791A8B"/>
    <w:rsid w:val="00793D1D"/>
    <w:rsid w:val="00796239"/>
    <w:rsid w:val="007A1928"/>
    <w:rsid w:val="007E32DF"/>
    <w:rsid w:val="007F558A"/>
    <w:rsid w:val="008105F6"/>
    <w:rsid w:val="0082199C"/>
    <w:rsid w:val="00825B93"/>
    <w:rsid w:val="008263DE"/>
    <w:rsid w:val="00836B7A"/>
    <w:rsid w:val="008458EA"/>
    <w:rsid w:val="00855D53"/>
    <w:rsid w:val="008569D2"/>
    <w:rsid w:val="00856E37"/>
    <w:rsid w:val="00867371"/>
    <w:rsid w:val="008730CC"/>
    <w:rsid w:val="008765B2"/>
    <w:rsid w:val="00881C20"/>
    <w:rsid w:val="008833A7"/>
    <w:rsid w:val="00884574"/>
    <w:rsid w:val="00887853"/>
    <w:rsid w:val="00893E89"/>
    <w:rsid w:val="008942ED"/>
    <w:rsid w:val="0089505A"/>
    <w:rsid w:val="008954A9"/>
    <w:rsid w:val="00896C76"/>
    <w:rsid w:val="008A105C"/>
    <w:rsid w:val="008B2535"/>
    <w:rsid w:val="008B4DC4"/>
    <w:rsid w:val="008F3D22"/>
    <w:rsid w:val="008F473A"/>
    <w:rsid w:val="00904B34"/>
    <w:rsid w:val="00913296"/>
    <w:rsid w:val="009340EE"/>
    <w:rsid w:val="00953220"/>
    <w:rsid w:val="009560DB"/>
    <w:rsid w:val="00960D4E"/>
    <w:rsid w:val="0098357D"/>
    <w:rsid w:val="00984E02"/>
    <w:rsid w:val="009A0A26"/>
    <w:rsid w:val="009A128D"/>
    <w:rsid w:val="009A2A17"/>
    <w:rsid w:val="009A42C0"/>
    <w:rsid w:val="009B0DFD"/>
    <w:rsid w:val="009B7388"/>
    <w:rsid w:val="009D1DD2"/>
    <w:rsid w:val="009D2609"/>
    <w:rsid w:val="009D38CC"/>
    <w:rsid w:val="009E0C28"/>
    <w:rsid w:val="009E31E2"/>
    <w:rsid w:val="009F53F7"/>
    <w:rsid w:val="009F6690"/>
    <w:rsid w:val="009F676F"/>
    <w:rsid w:val="00A025A9"/>
    <w:rsid w:val="00A05451"/>
    <w:rsid w:val="00A213C4"/>
    <w:rsid w:val="00A23793"/>
    <w:rsid w:val="00A567C3"/>
    <w:rsid w:val="00A57612"/>
    <w:rsid w:val="00A75446"/>
    <w:rsid w:val="00A75673"/>
    <w:rsid w:val="00A773FC"/>
    <w:rsid w:val="00A803F7"/>
    <w:rsid w:val="00A932AA"/>
    <w:rsid w:val="00A952FB"/>
    <w:rsid w:val="00A9770E"/>
    <w:rsid w:val="00AA4061"/>
    <w:rsid w:val="00AA4767"/>
    <w:rsid w:val="00AB0532"/>
    <w:rsid w:val="00AB0615"/>
    <w:rsid w:val="00AB461F"/>
    <w:rsid w:val="00AD00B0"/>
    <w:rsid w:val="00AD0D5E"/>
    <w:rsid w:val="00AD1789"/>
    <w:rsid w:val="00AD1E39"/>
    <w:rsid w:val="00AE39F3"/>
    <w:rsid w:val="00AE6C04"/>
    <w:rsid w:val="00AF3042"/>
    <w:rsid w:val="00B01055"/>
    <w:rsid w:val="00B045DC"/>
    <w:rsid w:val="00B1313E"/>
    <w:rsid w:val="00B14791"/>
    <w:rsid w:val="00B17B30"/>
    <w:rsid w:val="00B238D4"/>
    <w:rsid w:val="00B259C2"/>
    <w:rsid w:val="00B315F8"/>
    <w:rsid w:val="00B44994"/>
    <w:rsid w:val="00B47768"/>
    <w:rsid w:val="00B50DEC"/>
    <w:rsid w:val="00B53504"/>
    <w:rsid w:val="00B65EA6"/>
    <w:rsid w:val="00BA6E11"/>
    <w:rsid w:val="00BB4DC3"/>
    <w:rsid w:val="00BC3EBE"/>
    <w:rsid w:val="00BC3F71"/>
    <w:rsid w:val="00BC4949"/>
    <w:rsid w:val="00BC50DB"/>
    <w:rsid w:val="00BC516D"/>
    <w:rsid w:val="00BD20D3"/>
    <w:rsid w:val="00BE17C6"/>
    <w:rsid w:val="00BE65BF"/>
    <w:rsid w:val="00BF6A46"/>
    <w:rsid w:val="00BF6D39"/>
    <w:rsid w:val="00C0518B"/>
    <w:rsid w:val="00C0683B"/>
    <w:rsid w:val="00C1324A"/>
    <w:rsid w:val="00C15704"/>
    <w:rsid w:val="00C201AA"/>
    <w:rsid w:val="00C20E7A"/>
    <w:rsid w:val="00C21D8F"/>
    <w:rsid w:val="00C31620"/>
    <w:rsid w:val="00C316DB"/>
    <w:rsid w:val="00C3236F"/>
    <w:rsid w:val="00C40D42"/>
    <w:rsid w:val="00C543E0"/>
    <w:rsid w:val="00C56AC4"/>
    <w:rsid w:val="00C70E40"/>
    <w:rsid w:val="00C73A63"/>
    <w:rsid w:val="00C74714"/>
    <w:rsid w:val="00C76CEF"/>
    <w:rsid w:val="00C76DB7"/>
    <w:rsid w:val="00C773B3"/>
    <w:rsid w:val="00C77437"/>
    <w:rsid w:val="00CB522A"/>
    <w:rsid w:val="00CD6CB4"/>
    <w:rsid w:val="00CE7708"/>
    <w:rsid w:val="00CF5E68"/>
    <w:rsid w:val="00D01234"/>
    <w:rsid w:val="00D34654"/>
    <w:rsid w:val="00D51E4F"/>
    <w:rsid w:val="00D53CF9"/>
    <w:rsid w:val="00D64879"/>
    <w:rsid w:val="00D811E5"/>
    <w:rsid w:val="00D86F86"/>
    <w:rsid w:val="00D90983"/>
    <w:rsid w:val="00D95DAB"/>
    <w:rsid w:val="00DA7E95"/>
    <w:rsid w:val="00DC5A59"/>
    <w:rsid w:val="00DE1DC6"/>
    <w:rsid w:val="00DE55B9"/>
    <w:rsid w:val="00DF0BA1"/>
    <w:rsid w:val="00DF1C4E"/>
    <w:rsid w:val="00DF3076"/>
    <w:rsid w:val="00DF6F07"/>
    <w:rsid w:val="00DF7E4C"/>
    <w:rsid w:val="00E049B9"/>
    <w:rsid w:val="00E07378"/>
    <w:rsid w:val="00E105A3"/>
    <w:rsid w:val="00E17AE4"/>
    <w:rsid w:val="00E3758B"/>
    <w:rsid w:val="00E415BB"/>
    <w:rsid w:val="00E44AA9"/>
    <w:rsid w:val="00E60492"/>
    <w:rsid w:val="00E66947"/>
    <w:rsid w:val="00E728AA"/>
    <w:rsid w:val="00E758D6"/>
    <w:rsid w:val="00E80C71"/>
    <w:rsid w:val="00E83243"/>
    <w:rsid w:val="00E84E27"/>
    <w:rsid w:val="00E977D6"/>
    <w:rsid w:val="00EB0FA7"/>
    <w:rsid w:val="00EB2202"/>
    <w:rsid w:val="00EC099F"/>
    <w:rsid w:val="00EE036C"/>
    <w:rsid w:val="00EE3504"/>
    <w:rsid w:val="00EF0E02"/>
    <w:rsid w:val="00F00D2A"/>
    <w:rsid w:val="00F018C8"/>
    <w:rsid w:val="00F11B2A"/>
    <w:rsid w:val="00F137B1"/>
    <w:rsid w:val="00F13BAD"/>
    <w:rsid w:val="00F15BFB"/>
    <w:rsid w:val="00F21B41"/>
    <w:rsid w:val="00F35126"/>
    <w:rsid w:val="00F558F0"/>
    <w:rsid w:val="00F8553A"/>
    <w:rsid w:val="00F9033A"/>
    <w:rsid w:val="00F92F73"/>
    <w:rsid w:val="00F979A4"/>
    <w:rsid w:val="00F97B05"/>
    <w:rsid w:val="00FA4396"/>
    <w:rsid w:val="00FA5F67"/>
    <w:rsid w:val="00FB4C45"/>
    <w:rsid w:val="00FC078E"/>
    <w:rsid w:val="00FC09C5"/>
    <w:rsid w:val="00FC2577"/>
    <w:rsid w:val="00FE2A35"/>
    <w:rsid w:val="00FE3ED3"/>
    <w:rsid w:val="00FE59B8"/>
    <w:rsid w:val="00FE79DE"/>
    <w:rsid w:val="00FF1504"/>
    <w:rsid w:val="00FF4ECA"/>
    <w:rsid w:val="0605352E"/>
    <w:rsid w:val="06FAA7BB"/>
    <w:rsid w:val="07BB6D15"/>
    <w:rsid w:val="0BAD36F0"/>
    <w:rsid w:val="0BB521CC"/>
    <w:rsid w:val="0BD2235F"/>
    <w:rsid w:val="0F95FA68"/>
    <w:rsid w:val="113BFFD2"/>
    <w:rsid w:val="11CDF5A2"/>
    <w:rsid w:val="147F2B2F"/>
    <w:rsid w:val="189CDF12"/>
    <w:rsid w:val="1CB43462"/>
    <w:rsid w:val="1D6D41B6"/>
    <w:rsid w:val="1E3FAB59"/>
    <w:rsid w:val="1F462C31"/>
    <w:rsid w:val="1F6C51F2"/>
    <w:rsid w:val="213B0302"/>
    <w:rsid w:val="21D284F1"/>
    <w:rsid w:val="231C5C42"/>
    <w:rsid w:val="267FFEE8"/>
    <w:rsid w:val="271175B5"/>
    <w:rsid w:val="2A3C3213"/>
    <w:rsid w:val="2B6AA952"/>
    <w:rsid w:val="2B800C3C"/>
    <w:rsid w:val="2C4EC830"/>
    <w:rsid w:val="2EDB088E"/>
    <w:rsid w:val="2F6E60ED"/>
    <w:rsid w:val="2F813819"/>
    <w:rsid w:val="300E6982"/>
    <w:rsid w:val="306BA8AC"/>
    <w:rsid w:val="30C20E0C"/>
    <w:rsid w:val="32B22A11"/>
    <w:rsid w:val="3303656B"/>
    <w:rsid w:val="332E2239"/>
    <w:rsid w:val="334DAD63"/>
    <w:rsid w:val="34439A91"/>
    <w:rsid w:val="35A5DAA2"/>
    <w:rsid w:val="39788C3C"/>
    <w:rsid w:val="39DA9487"/>
    <w:rsid w:val="3C8F2FEA"/>
    <w:rsid w:val="3E34C378"/>
    <w:rsid w:val="403F2413"/>
    <w:rsid w:val="428E53E5"/>
    <w:rsid w:val="4434185E"/>
    <w:rsid w:val="47BB043E"/>
    <w:rsid w:val="48D34C97"/>
    <w:rsid w:val="4D096EE5"/>
    <w:rsid w:val="4DDDB7E9"/>
    <w:rsid w:val="4DF73030"/>
    <w:rsid w:val="4F6971B5"/>
    <w:rsid w:val="4FE8550D"/>
    <w:rsid w:val="50206B48"/>
    <w:rsid w:val="51FAE8F7"/>
    <w:rsid w:val="530B222D"/>
    <w:rsid w:val="532B0444"/>
    <w:rsid w:val="58388703"/>
    <w:rsid w:val="59519396"/>
    <w:rsid w:val="5BCFC785"/>
    <w:rsid w:val="5F12CA98"/>
    <w:rsid w:val="6370D1CD"/>
    <w:rsid w:val="640BA621"/>
    <w:rsid w:val="64C77241"/>
    <w:rsid w:val="65B5862B"/>
    <w:rsid w:val="680ECCE2"/>
    <w:rsid w:val="6AFFC0C2"/>
    <w:rsid w:val="6BBE0394"/>
    <w:rsid w:val="6C0E69F2"/>
    <w:rsid w:val="71BE2C28"/>
    <w:rsid w:val="734B8400"/>
    <w:rsid w:val="739C285F"/>
    <w:rsid w:val="73DBD55A"/>
    <w:rsid w:val="74ED1BE3"/>
    <w:rsid w:val="762C7449"/>
    <w:rsid w:val="770734F7"/>
    <w:rsid w:val="794FD8EF"/>
    <w:rsid w:val="7C6A3F1E"/>
    <w:rsid w:val="7E51EA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4A55E"/>
  <w15:chartTrackingRefBased/>
  <w15:docId w15:val="{5DDA89FA-6B6B-456A-847D-7C2D6CF2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78E"/>
  </w:style>
  <w:style w:type="paragraph" w:styleId="Heading1">
    <w:name w:val="heading 1"/>
    <w:basedOn w:val="Normal"/>
    <w:next w:val="Normal"/>
    <w:link w:val="Heading1Char"/>
    <w:uiPriority w:val="9"/>
    <w:qFormat/>
    <w:rsid w:val="00A932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32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32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32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32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32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2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2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2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2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32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32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32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32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32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2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2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2AA"/>
    <w:rPr>
      <w:rFonts w:eastAsiaTheme="majorEastAsia" w:cstheme="majorBidi"/>
      <w:color w:val="272727" w:themeColor="text1" w:themeTint="D8"/>
    </w:rPr>
  </w:style>
  <w:style w:type="paragraph" w:styleId="Title">
    <w:name w:val="Title"/>
    <w:basedOn w:val="Normal"/>
    <w:next w:val="Normal"/>
    <w:link w:val="TitleChar"/>
    <w:uiPriority w:val="10"/>
    <w:qFormat/>
    <w:rsid w:val="00A932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2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2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2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2AA"/>
    <w:pPr>
      <w:spacing w:before="160"/>
      <w:jc w:val="center"/>
    </w:pPr>
    <w:rPr>
      <w:i/>
      <w:iCs/>
      <w:color w:val="404040" w:themeColor="text1" w:themeTint="BF"/>
    </w:rPr>
  </w:style>
  <w:style w:type="character" w:customStyle="1" w:styleId="QuoteChar">
    <w:name w:val="Quote Char"/>
    <w:basedOn w:val="DefaultParagraphFont"/>
    <w:link w:val="Quote"/>
    <w:uiPriority w:val="29"/>
    <w:rsid w:val="00A932AA"/>
    <w:rPr>
      <w:i/>
      <w:iCs/>
      <w:color w:val="404040" w:themeColor="text1" w:themeTint="BF"/>
    </w:rPr>
  </w:style>
  <w:style w:type="paragraph" w:styleId="ListParagraph">
    <w:name w:val="List Paragraph"/>
    <w:basedOn w:val="Normal"/>
    <w:uiPriority w:val="34"/>
    <w:qFormat/>
    <w:rsid w:val="00A932AA"/>
    <w:pPr>
      <w:ind w:left="720"/>
      <w:contextualSpacing/>
    </w:pPr>
  </w:style>
  <w:style w:type="character" w:styleId="IntenseEmphasis">
    <w:name w:val="Intense Emphasis"/>
    <w:basedOn w:val="DefaultParagraphFont"/>
    <w:uiPriority w:val="21"/>
    <w:qFormat/>
    <w:rsid w:val="00A932AA"/>
    <w:rPr>
      <w:i/>
      <w:iCs/>
      <w:color w:val="0F4761" w:themeColor="accent1" w:themeShade="BF"/>
    </w:rPr>
  </w:style>
  <w:style w:type="paragraph" w:styleId="IntenseQuote">
    <w:name w:val="Intense Quote"/>
    <w:basedOn w:val="Normal"/>
    <w:next w:val="Normal"/>
    <w:link w:val="IntenseQuoteChar"/>
    <w:uiPriority w:val="30"/>
    <w:qFormat/>
    <w:rsid w:val="00A932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32AA"/>
    <w:rPr>
      <w:i/>
      <w:iCs/>
      <w:color w:val="0F4761" w:themeColor="accent1" w:themeShade="BF"/>
    </w:rPr>
  </w:style>
  <w:style w:type="character" w:styleId="IntenseReference">
    <w:name w:val="Intense Reference"/>
    <w:basedOn w:val="DefaultParagraphFont"/>
    <w:uiPriority w:val="32"/>
    <w:qFormat/>
    <w:rsid w:val="00A932AA"/>
    <w:rPr>
      <w:b/>
      <w:bCs/>
      <w:smallCaps/>
      <w:color w:val="0F4761" w:themeColor="accent1" w:themeShade="BF"/>
      <w:spacing w:val="5"/>
    </w:rPr>
  </w:style>
  <w:style w:type="paragraph" w:customStyle="1" w:styleId="Default">
    <w:name w:val="Default"/>
    <w:rsid w:val="00A932A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932AA"/>
    <w:rPr>
      <w:color w:val="0000FF"/>
      <w:u w:val="single"/>
    </w:rPr>
  </w:style>
  <w:style w:type="paragraph" w:styleId="Header">
    <w:name w:val="header"/>
    <w:basedOn w:val="Normal"/>
    <w:link w:val="HeaderChar"/>
    <w:uiPriority w:val="99"/>
    <w:unhideWhenUsed/>
    <w:rsid w:val="00AA4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767"/>
  </w:style>
  <w:style w:type="paragraph" w:styleId="Footer">
    <w:name w:val="footer"/>
    <w:basedOn w:val="Normal"/>
    <w:link w:val="FooterChar"/>
    <w:uiPriority w:val="99"/>
    <w:unhideWhenUsed/>
    <w:rsid w:val="00AA4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767"/>
  </w:style>
  <w:style w:type="character" w:styleId="UnresolvedMention">
    <w:name w:val="Unresolved Mention"/>
    <w:basedOn w:val="DefaultParagraphFont"/>
    <w:uiPriority w:val="99"/>
    <w:semiHidden/>
    <w:unhideWhenUsed/>
    <w:rsid w:val="00A23793"/>
    <w:rPr>
      <w:color w:val="605E5C"/>
      <w:shd w:val="clear" w:color="auto" w:fill="E1DFDD"/>
    </w:rPr>
  </w:style>
  <w:style w:type="character" w:styleId="CommentReference">
    <w:name w:val="annotation reference"/>
    <w:basedOn w:val="DefaultParagraphFont"/>
    <w:uiPriority w:val="99"/>
    <w:semiHidden/>
    <w:unhideWhenUsed/>
    <w:rsid w:val="004C42E7"/>
    <w:rPr>
      <w:sz w:val="16"/>
      <w:szCs w:val="16"/>
    </w:rPr>
  </w:style>
  <w:style w:type="paragraph" w:styleId="CommentText">
    <w:name w:val="annotation text"/>
    <w:basedOn w:val="Normal"/>
    <w:link w:val="CommentTextChar"/>
    <w:uiPriority w:val="99"/>
    <w:unhideWhenUsed/>
    <w:rsid w:val="004C42E7"/>
    <w:pPr>
      <w:spacing w:line="240" w:lineRule="auto"/>
    </w:pPr>
    <w:rPr>
      <w:sz w:val="20"/>
      <w:szCs w:val="20"/>
    </w:rPr>
  </w:style>
  <w:style w:type="character" w:customStyle="1" w:styleId="CommentTextChar">
    <w:name w:val="Comment Text Char"/>
    <w:basedOn w:val="DefaultParagraphFont"/>
    <w:link w:val="CommentText"/>
    <w:uiPriority w:val="99"/>
    <w:rsid w:val="004C42E7"/>
    <w:rPr>
      <w:sz w:val="20"/>
      <w:szCs w:val="20"/>
    </w:rPr>
  </w:style>
  <w:style w:type="paragraph" w:styleId="CommentSubject">
    <w:name w:val="annotation subject"/>
    <w:basedOn w:val="CommentText"/>
    <w:next w:val="CommentText"/>
    <w:link w:val="CommentSubjectChar"/>
    <w:uiPriority w:val="99"/>
    <w:semiHidden/>
    <w:unhideWhenUsed/>
    <w:rsid w:val="004C42E7"/>
    <w:rPr>
      <w:b/>
      <w:bCs/>
    </w:rPr>
  </w:style>
  <w:style w:type="character" w:customStyle="1" w:styleId="CommentSubjectChar">
    <w:name w:val="Comment Subject Char"/>
    <w:basedOn w:val="CommentTextChar"/>
    <w:link w:val="CommentSubject"/>
    <w:uiPriority w:val="99"/>
    <w:semiHidden/>
    <w:rsid w:val="004C42E7"/>
    <w:rPr>
      <w:b/>
      <w:bCs/>
      <w:sz w:val="20"/>
      <w:szCs w:val="20"/>
    </w:rPr>
  </w:style>
  <w:style w:type="paragraph" w:styleId="NormalWeb">
    <w:name w:val="Normal (Web)"/>
    <w:basedOn w:val="Normal"/>
    <w:uiPriority w:val="99"/>
    <w:semiHidden/>
    <w:unhideWhenUsed/>
    <w:rsid w:val="00C40D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0D42"/>
    <w:rPr>
      <w:b/>
      <w:bCs/>
    </w:rPr>
  </w:style>
  <w:style w:type="paragraph" w:styleId="Revision">
    <w:name w:val="Revision"/>
    <w:hidden/>
    <w:uiPriority w:val="99"/>
    <w:semiHidden/>
    <w:rsid w:val="00191519"/>
    <w:pPr>
      <w:spacing w:after="0" w:line="240" w:lineRule="auto"/>
    </w:pPr>
  </w:style>
  <w:style w:type="paragraph" w:styleId="FootnoteText">
    <w:name w:val="footnote text"/>
    <w:basedOn w:val="Normal"/>
    <w:link w:val="FootnoteTextChar"/>
    <w:uiPriority w:val="99"/>
    <w:semiHidden/>
    <w:unhideWhenUsed/>
    <w:rsid w:val="005E34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34AF"/>
    <w:rPr>
      <w:sz w:val="20"/>
      <w:szCs w:val="20"/>
    </w:rPr>
  </w:style>
  <w:style w:type="character" w:styleId="FootnoteReference">
    <w:name w:val="footnote reference"/>
    <w:basedOn w:val="DefaultParagraphFont"/>
    <w:uiPriority w:val="99"/>
    <w:semiHidden/>
    <w:unhideWhenUsed/>
    <w:rsid w:val="005E34AF"/>
    <w:rPr>
      <w:vertAlign w:val="superscript"/>
    </w:rPr>
  </w:style>
  <w:style w:type="character" w:customStyle="1" w:styleId="normaltextrun">
    <w:name w:val="normaltextrun"/>
    <w:basedOn w:val="DefaultParagraphFont"/>
    <w:rsid w:val="005E34AF"/>
  </w:style>
  <w:style w:type="character" w:customStyle="1" w:styleId="eop">
    <w:name w:val="eop"/>
    <w:basedOn w:val="DefaultParagraphFont"/>
    <w:rsid w:val="005E3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1785">
      <w:bodyDiv w:val="1"/>
      <w:marLeft w:val="0"/>
      <w:marRight w:val="0"/>
      <w:marTop w:val="0"/>
      <w:marBottom w:val="0"/>
      <w:divBdr>
        <w:top w:val="none" w:sz="0" w:space="0" w:color="auto"/>
        <w:left w:val="none" w:sz="0" w:space="0" w:color="auto"/>
        <w:bottom w:val="none" w:sz="0" w:space="0" w:color="auto"/>
        <w:right w:val="none" w:sz="0" w:space="0" w:color="auto"/>
      </w:divBdr>
      <w:divsChild>
        <w:div w:id="1148134353">
          <w:marLeft w:val="274"/>
          <w:marRight w:val="0"/>
          <w:marTop w:val="240"/>
          <w:marBottom w:val="0"/>
          <w:divBdr>
            <w:top w:val="none" w:sz="0" w:space="0" w:color="auto"/>
            <w:left w:val="none" w:sz="0" w:space="0" w:color="auto"/>
            <w:bottom w:val="none" w:sz="0" w:space="0" w:color="auto"/>
            <w:right w:val="none" w:sz="0" w:space="0" w:color="auto"/>
          </w:divBdr>
        </w:div>
        <w:div w:id="1309700089">
          <w:marLeft w:val="274"/>
          <w:marRight w:val="0"/>
          <w:marTop w:val="240"/>
          <w:marBottom w:val="0"/>
          <w:divBdr>
            <w:top w:val="none" w:sz="0" w:space="0" w:color="auto"/>
            <w:left w:val="none" w:sz="0" w:space="0" w:color="auto"/>
            <w:bottom w:val="none" w:sz="0" w:space="0" w:color="auto"/>
            <w:right w:val="none" w:sz="0" w:space="0" w:color="auto"/>
          </w:divBdr>
        </w:div>
        <w:div w:id="1371612596">
          <w:marLeft w:val="274"/>
          <w:marRight w:val="0"/>
          <w:marTop w:val="240"/>
          <w:marBottom w:val="0"/>
          <w:divBdr>
            <w:top w:val="none" w:sz="0" w:space="0" w:color="auto"/>
            <w:left w:val="none" w:sz="0" w:space="0" w:color="auto"/>
            <w:bottom w:val="none" w:sz="0" w:space="0" w:color="auto"/>
            <w:right w:val="none" w:sz="0" w:space="0" w:color="auto"/>
          </w:divBdr>
        </w:div>
        <w:div w:id="1816949575">
          <w:marLeft w:val="274"/>
          <w:marRight w:val="0"/>
          <w:marTop w:val="240"/>
          <w:marBottom w:val="0"/>
          <w:divBdr>
            <w:top w:val="none" w:sz="0" w:space="0" w:color="auto"/>
            <w:left w:val="none" w:sz="0" w:space="0" w:color="auto"/>
            <w:bottom w:val="none" w:sz="0" w:space="0" w:color="auto"/>
            <w:right w:val="none" w:sz="0" w:space="0" w:color="auto"/>
          </w:divBdr>
        </w:div>
      </w:divsChild>
    </w:div>
    <w:div w:id="240255837">
      <w:bodyDiv w:val="1"/>
      <w:marLeft w:val="0"/>
      <w:marRight w:val="0"/>
      <w:marTop w:val="0"/>
      <w:marBottom w:val="0"/>
      <w:divBdr>
        <w:top w:val="none" w:sz="0" w:space="0" w:color="auto"/>
        <w:left w:val="none" w:sz="0" w:space="0" w:color="auto"/>
        <w:bottom w:val="none" w:sz="0" w:space="0" w:color="auto"/>
        <w:right w:val="none" w:sz="0" w:space="0" w:color="auto"/>
      </w:divBdr>
    </w:div>
    <w:div w:id="254170717">
      <w:bodyDiv w:val="1"/>
      <w:marLeft w:val="0"/>
      <w:marRight w:val="0"/>
      <w:marTop w:val="0"/>
      <w:marBottom w:val="0"/>
      <w:divBdr>
        <w:top w:val="none" w:sz="0" w:space="0" w:color="auto"/>
        <w:left w:val="none" w:sz="0" w:space="0" w:color="auto"/>
        <w:bottom w:val="none" w:sz="0" w:space="0" w:color="auto"/>
        <w:right w:val="none" w:sz="0" w:space="0" w:color="auto"/>
      </w:divBdr>
    </w:div>
    <w:div w:id="326445567">
      <w:bodyDiv w:val="1"/>
      <w:marLeft w:val="0"/>
      <w:marRight w:val="0"/>
      <w:marTop w:val="0"/>
      <w:marBottom w:val="0"/>
      <w:divBdr>
        <w:top w:val="none" w:sz="0" w:space="0" w:color="auto"/>
        <w:left w:val="none" w:sz="0" w:space="0" w:color="auto"/>
        <w:bottom w:val="none" w:sz="0" w:space="0" w:color="auto"/>
        <w:right w:val="none" w:sz="0" w:space="0" w:color="auto"/>
      </w:divBdr>
    </w:div>
    <w:div w:id="675763008">
      <w:bodyDiv w:val="1"/>
      <w:marLeft w:val="0"/>
      <w:marRight w:val="0"/>
      <w:marTop w:val="0"/>
      <w:marBottom w:val="0"/>
      <w:divBdr>
        <w:top w:val="none" w:sz="0" w:space="0" w:color="auto"/>
        <w:left w:val="none" w:sz="0" w:space="0" w:color="auto"/>
        <w:bottom w:val="none" w:sz="0" w:space="0" w:color="auto"/>
        <w:right w:val="none" w:sz="0" w:space="0" w:color="auto"/>
      </w:divBdr>
    </w:div>
    <w:div w:id="881795795">
      <w:bodyDiv w:val="1"/>
      <w:marLeft w:val="0"/>
      <w:marRight w:val="0"/>
      <w:marTop w:val="0"/>
      <w:marBottom w:val="0"/>
      <w:divBdr>
        <w:top w:val="none" w:sz="0" w:space="0" w:color="auto"/>
        <w:left w:val="none" w:sz="0" w:space="0" w:color="auto"/>
        <w:bottom w:val="none" w:sz="0" w:space="0" w:color="auto"/>
        <w:right w:val="none" w:sz="0" w:space="0" w:color="auto"/>
      </w:divBdr>
    </w:div>
    <w:div w:id="1017268875">
      <w:bodyDiv w:val="1"/>
      <w:marLeft w:val="0"/>
      <w:marRight w:val="0"/>
      <w:marTop w:val="0"/>
      <w:marBottom w:val="0"/>
      <w:divBdr>
        <w:top w:val="none" w:sz="0" w:space="0" w:color="auto"/>
        <w:left w:val="none" w:sz="0" w:space="0" w:color="auto"/>
        <w:bottom w:val="none" w:sz="0" w:space="0" w:color="auto"/>
        <w:right w:val="none" w:sz="0" w:space="0" w:color="auto"/>
      </w:divBdr>
    </w:div>
    <w:div w:id="1308784224">
      <w:bodyDiv w:val="1"/>
      <w:marLeft w:val="0"/>
      <w:marRight w:val="0"/>
      <w:marTop w:val="0"/>
      <w:marBottom w:val="0"/>
      <w:divBdr>
        <w:top w:val="none" w:sz="0" w:space="0" w:color="auto"/>
        <w:left w:val="none" w:sz="0" w:space="0" w:color="auto"/>
        <w:bottom w:val="none" w:sz="0" w:space="0" w:color="auto"/>
        <w:right w:val="none" w:sz="0" w:space="0" w:color="auto"/>
      </w:divBdr>
    </w:div>
    <w:div w:id="20884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20.org/en/tracks/sherpa-track/hunger-and-poverty" TargetMode="External"/><Relationship Id="rId13" Type="http://schemas.openxmlformats.org/officeDocument/2006/relationships/hyperlink" Target="https://www.fao.org/interactive/state-of-food-security-nutrition/en/" TargetMode="External"/><Relationship Id="rId18" Type="http://schemas.openxmlformats.org/officeDocument/2006/relationships/hyperlink" Target="mailto:wfp.media@wfp.org" TargetMode="Externa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yperlink" Target="https://www.fao.org/publications/home/fao-flagship-publications/the-state-of-food-security-and-nutrition-in-the-world" TargetMode="External"/><Relationship Id="rId17" Type="http://schemas.openxmlformats.org/officeDocument/2006/relationships/hyperlink" Target="mailto:mediainquiries@who.int" TargetMode="External"/><Relationship Id="rId2" Type="http://schemas.openxmlformats.org/officeDocument/2006/relationships/numbering" Target="numbering.xml"/><Relationship Id="rId16" Type="http://schemas.openxmlformats.org/officeDocument/2006/relationships/hyperlink" Target="mailto:nsamie@unicef.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publications/i/item/WHO-NMH-NHD-14.2" TargetMode="External"/><Relationship Id="rId5" Type="http://schemas.openxmlformats.org/officeDocument/2006/relationships/webSettings" Target="webSettings.xml"/><Relationship Id="rId15" Type="http://schemas.openxmlformats.org/officeDocument/2006/relationships/hyperlink" Target="mailto:a.trillobarca@ifad.org" TargetMode="External"/><Relationship Id="rId10" Type="http://schemas.openxmlformats.org/officeDocument/2006/relationships/hyperlink" Target="https://sdgs.un.org/goals/goal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org/sustainabledevelopment/hunger/" TargetMode="External"/><Relationship Id="rId14" Type="http://schemas.openxmlformats.org/officeDocument/2006/relationships/hyperlink" Target="mailto:FAO-Newsroom@fa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90956-0A6E-4AEB-9296-07B96972F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2197</Words>
  <Characters>12525</Characters>
  <Application>Microsoft Office Word</Application>
  <DocSecurity>0</DocSecurity>
  <Lines>104</Lines>
  <Paragraphs>29</Paragraphs>
  <ScaleCrop>false</ScaleCrop>
  <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Quinones, Laura (OCCM)</dc:creator>
  <cp:keywords/>
  <dc:description/>
  <cp:lastModifiedBy>Nadia Samie-Jacobs</cp:lastModifiedBy>
  <cp:revision>2</cp:revision>
  <cp:lastPrinted>2024-07-22T13:57:00Z</cp:lastPrinted>
  <dcterms:created xsi:type="dcterms:W3CDTF">2024-07-22T21:02:00Z</dcterms:created>
  <dcterms:modified xsi:type="dcterms:W3CDTF">2024-07-22T21:02:00Z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b38c2ee2-2e7a-450f-8e88-dc744b04bd9b</vt:lpwstr>
  </property>
</Properties>
</file>